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A4" w:rsidRPr="002A18CD" w:rsidRDefault="00235874">
      <w:pPr>
        <w:rPr>
          <w:color w:val="auto"/>
          <w:sz w:val="2"/>
          <w:szCs w:val="2"/>
        </w:rPr>
      </w:pPr>
      <w:r w:rsidRPr="002A18CD">
        <w:rPr>
          <w:noProof/>
          <w:color w:val="auto"/>
          <w:lang w:bidi="ar-SA"/>
        </w:rPr>
        <w:drawing>
          <wp:anchor distT="0" distB="0" distL="309880" distR="283210" simplePos="0" relativeHeight="377487104" behindDoc="0" locked="0" layoutInCell="1" allowOverlap="1">
            <wp:simplePos x="0" y="0"/>
            <wp:positionH relativeFrom="margin">
              <wp:posOffset>2999740</wp:posOffset>
            </wp:positionH>
            <wp:positionV relativeFrom="paragraph">
              <wp:posOffset>-71755</wp:posOffset>
            </wp:positionV>
            <wp:extent cx="568800" cy="705600"/>
            <wp:effectExtent l="0" t="0" r="3175" b="0"/>
            <wp:wrapNone/>
            <wp:docPr id="2" name="Рисунок 2" descr="C:\Users\60F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FB~1\AppData\Local\Temp\FineReader12.00\media\image1.jpeg"/>
                    <pic:cNvPicPr>
                      <a:picLocks noChangeAspect="1" noChangeArrowheads="1"/>
                    </pic:cNvPicPr>
                  </pic:nvPicPr>
                  <pic:blipFill>
                    <a:blip r:embed="rId7" cstate="print">
                      <a:lum bright="-20000" contrast="60000"/>
                      <a:extLst>
                        <a:ext uri="{BEBA8EAE-BF5A-486C-A8C5-ECC9F3942E4B}">
                          <a14:imgProps xmlns:a14="http://schemas.microsoft.com/office/drawing/2010/main">
                            <a14:imgLayer r:embed="rId8">
                              <a14:imgEffect>
                                <a14:sharpenSoften amount="-25000"/>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8800" cy="705600"/>
                    </a:xfrm>
                    <a:prstGeom prst="rect">
                      <a:avLst/>
                    </a:prstGeom>
                    <a:noFill/>
                  </pic:spPr>
                </pic:pic>
              </a:graphicData>
            </a:graphic>
          </wp:anchor>
        </w:drawing>
      </w:r>
    </w:p>
    <w:p w:rsidR="00C7184A" w:rsidRPr="002A18CD" w:rsidRDefault="00C7184A">
      <w:pPr>
        <w:pStyle w:val="30"/>
        <w:shd w:val="clear" w:color="auto" w:fill="auto"/>
        <w:rPr>
          <w:color w:val="auto"/>
        </w:rPr>
      </w:pPr>
    </w:p>
    <w:p w:rsidR="00A435E7" w:rsidRPr="00A932C6" w:rsidRDefault="00A435E7" w:rsidP="00705BE6">
      <w:pPr>
        <w:pStyle w:val="30"/>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ИСПОЛНИТЕЛЬНЫЙ КОМИТЕТ</w:t>
      </w:r>
    </w:p>
    <w:p w:rsidR="00A435E7" w:rsidRPr="00A932C6" w:rsidRDefault="00A435E7" w:rsidP="00705BE6">
      <w:pPr>
        <w:pStyle w:val="30"/>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ВЫСОКОГОРСКОГО МУНИЦИПАЛЬНОГО</w:t>
      </w:r>
    </w:p>
    <w:p w:rsidR="008252BD" w:rsidRPr="00A932C6" w:rsidRDefault="00A435E7" w:rsidP="00705BE6">
      <w:pPr>
        <w:pStyle w:val="30"/>
        <w:shd w:val="clear" w:color="auto" w:fill="auto"/>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РАЙОНА РЕСПУБЛИКИ ТАТАРСТАН</w:t>
      </w:r>
    </w:p>
    <w:p w:rsidR="00705BE6" w:rsidRDefault="00705BE6" w:rsidP="00705BE6">
      <w:pPr>
        <w:pStyle w:val="20"/>
        <w:tabs>
          <w:tab w:val="left" w:pos="5467"/>
        </w:tabs>
        <w:spacing w:line="240" w:lineRule="exact"/>
        <w:rPr>
          <w:rFonts w:ascii="Times New Roman" w:hAnsi="Times New Roman" w:cs="Times New Roman"/>
          <w:b/>
          <w:bCs/>
          <w:color w:val="auto"/>
          <w:sz w:val="21"/>
          <w:szCs w:val="21"/>
        </w:rPr>
      </w:pPr>
    </w:p>
    <w:p w:rsidR="00A435E7" w:rsidRPr="00A932C6" w:rsidRDefault="00A435E7" w:rsidP="00705BE6">
      <w:pPr>
        <w:pStyle w:val="20"/>
        <w:tabs>
          <w:tab w:val="left" w:pos="5467"/>
        </w:tabs>
        <w:spacing w:line="240" w:lineRule="exact"/>
        <w:ind w:right="255"/>
        <w:jc w:val="center"/>
        <w:rPr>
          <w:rFonts w:ascii="Times New Roman" w:hAnsi="Times New Roman" w:cs="Times New Roman"/>
          <w:b/>
          <w:bCs/>
          <w:color w:val="auto"/>
          <w:sz w:val="21"/>
          <w:szCs w:val="21"/>
        </w:rPr>
        <w:sectPr w:rsidR="00A435E7" w:rsidRPr="00A932C6" w:rsidSect="002C0F51">
          <w:headerReference w:type="default" r:id="rId9"/>
          <w:pgSz w:w="11900" w:h="16840"/>
          <w:pgMar w:top="1134" w:right="567" w:bottom="1134" w:left="1134" w:header="0" w:footer="6" w:gutter="0"/>
          <w:cols w:num="2" w:space="71" w:equalWidth="0">
            <w:col w:w="4437" w:space="1680"/>
            <w:col w:w="4083"/>
          </w:cols>
          <w:noEndnote/>
          <w:docGrid w:linePitch="360"/>
        </w:sectPr>
      </w:pPr>
      <w:r w:rsidRPr="00A932C6">
        <w:rPr>
          <w:rFonts w:ascii="Times New Roman" w:hAnsi="Times New Roman" w:cs="Times New Roman"/>
          <w:b/>
          <w:bCs/>
          <w:color w:val="auto"/>
          <w:sz w:val="21"/>
          <w:szCs w:val="21"/>
        </w:rPr>
        <w:t>ТАТАРСТАН РЕСПУБЛИКАСЫ</w:t>
      </w:r>
      <w:r w:rsidRPr="00A932C6">
        <w:rPr>
          <w:rFonts w:ascii="Times New Roman" w:hAnsi="Times New Roman" w:cs="Times New Roman"/>
          <w:b/>
          <w:bCs/>
          <w:color w:val="auto"/>
          <w:sz w:val="21"/>
          <w:szCs w:val="21"/>
        </w:rPr>
        <w:br/>
        <w:t>БИЕКТАУ МУНИЦИПАЛЕ РАЙОНЫ</w:t>
      </w:r>
      <w:r w:rsidRPr="00A932C6">
        <w:rPr>
          <w:rFonts w:ascii="Times New Roman" w:hAnsi="Times New Roman" w:cs="Times New Roman"/>
          <w:b/>
          <w:bCs/>
          <w:color w:val="auto"/>
          <w:sz w:val="21"/>
          <w:szCs w:val="21"/>
        </w:rPr>
        <w:br/>
        <w:t>БАШКАРМА КОМИТЕТЫ</w:t>
      </w:r>
    </w:p>
    <w:p w:rsidR="00562CA4" w:rsidRPr="00705BE6" w:rsidRDefault="00645BDA" w:rsidP="00705BE6">
      <w:pPr>
        <w:pStyle w:val="20"/>
        <w:shd w:val="clear" w:color="auto" w:fill="auto"/>
        <w:tabs>
          <w:tab w:val="left" w:pos="5467"/>
        </w:tabs>
        <w:spacing w:line="240" w:lineRule="exact"/>
        <w:ind w:left="-284"/>
        <w:rPr>
          <w:rFonts w:ascii="Times New Roman" w:eastAsia="Yu Gothic UI Semilight" w:hAnsi="Times New Roman" w:cs="Times New Roman"/>
          <w:color w:val="auto"/>
          <w:sz w:val="19"/>
          <w:szCs w:val="19"/>
        </w:rPr>
      </w:pPr>
      <w:r w:rsidRPr="00705BE6">
        <w:rPr>
          <w:rFonts w:ascii="Times New Roman" w:eastAsia="Yu Gothic UI Semilight" w:hAnsi="Times New Roman" w:cs="Times New Roman"/>
          <w:color w:val="auto"/>
          <w:sz w:val="19"/>
          <w:szCs w:val="19"/>
        </w:rPr>
        <w:lastRenderedPageBreak/>
        <w:t>Кооперативная ул</w:t>
      </w:r>
      <w:r w:rsidR="00213682" w:rsidRPr="00705BE6">
        <w:rPr>
          <w:rFonts w:ascii="Times New Roman" w:eastAsia="Yu Gothic UI Semilight" w:hAnsi="Times New Roman" w:cs="Times New Roman"/>
          <w:color w:val="auto"/>
          <w:sz w:val="19"/>
          <w:szCs w:val="19"/>
        </w:rPr>
        <w:t>., 5</w:t>
      </w:r>
      <w:r w:rsidRPr="00705BE6">
        <w:rPr>
          <w:rFonts w:ascii="Times New Roman" w:eastAsia="Yu Gothic UI Semilight" w:hAnsi="Times New Roman" w:cs="Times New Roman"/>
          <w:color w:val="auto"/>
          <w:sz w:val="19"/>
          <w:szCs w:val="19"/>
        </w:rPr>
        <w:t>, пос. ж/д станция Высокая Гора,</w:t>
      </w:r>
      <w:r w:rsidRPr="00705BE6">
        <w:rPr>
          <w:rFonts w:ascii="Times New Roman" w:eastAsia="Yu Gothic UI Semilight" w:hAnsi="Times New Roman" w:cs="Times New Roman"/>
          <w:color w:val="auto"/>
          <w:sz w:val="19"/>
          <w:szCs w:val="19"/>
        </w:rPr>
        <w:tab/>
        <w:t xml:space="preserve">Кооперативная </w:t>
      </w:r>
      <w:proofErr w:type="spellStart"/>
      <w:r w:rsidRPr="00705BE6">
        <w:rPr>
          <w:rFonts w:ascii="Times New Roman" w:eastAsia="Yu Gothic UI Semilight" w:hAnsi="Times New Roman" w:cs="Times New Roman"/>
          <w:color w:val="auto"/>
          <w:sz w:val="19"/>
          <w:szCs w:val="19"/>
        </w:rPr>
        <w:t>ур</w:t>
      </w:r>
      <w:proofErr w:type="spellEnd"/>
      <w:r w:rsidRPr="00705BE6">
        <w:rPr>
          <w:rFonts w:ascii="Times New Roman" w:eastAsia="Yu Gothic UI Semilight" w:hAnsi="Times New Roman" w:cs="Times New Roman"/>
          <w:color w:val="auto"/>
          <w:sz w:val="19"/>
          <w:szCs w:val="19"/>
        </w:rPr>
        <w:t xml:space="preserve">., 5, Биектау т/ю </w:t>
      </w:r>
      <w:proofErr w:type="spellStart"/>
      <w:r w:rsidRPr="00705BE6">
        <w:rPr>
          <w:rFonts w:ascii="Times New Roman" w:eastAsia="Yu Gothic UI Semilight" w:hAnsi="Times New Roman" w:cs="Times New Roman"/>
          <w:color w:val="auto"/>
          <w:sz w:val="19"/>
          <w:szCs w:val="19"/>
        </w:rPr>
        <w:t>станциясе</w:t>
      </w:r>
      <w:proofErr w:type="spellEnd"/>
      <w:r w:rsidRPr="00705BE6">
        <w:rPr>
          <w:rFonts w:ascii="Times New Roman" w:eastAsia="Yu Gothic UI Semilight" w:hAnsi="Times New Roman" w:cs="Times New Roman"/>
          <w:color w:val="auto"/>
          <w:sz w:val="19"/>
          <w:szCs w:val="19"/>
        </w:rPr>
        <w:t xml:space="preserve"> </w:t>
      </w:r>
      <w:proofErr w:type="spellStart"/>
      <w:r w:rsidRPr="00705BE6">
        <w:rPr>
          <w:rFonts w:ascii="Times New Roman" w:eastAsia="Yu Gothic UI Semilight" w:hAnsi="Times New Roman" w:cs="Times New Roman"/>
          <w:color w:val="auto"/>
          <w:sz w:val="19"/>
          <w:szCs w:val="19"/>
        </w:rPr>
        <w:t>поселогы</w:t>
      </w:r>
      <w:proofErr w:type="spellEnd"/>
      <w:r w:rsidRPr="00705BE6">
        <w:rPr>
          <w:rFonts w:ascii="Times New Roman" w:eastAsia="Yu Gothic UI Semilight" w:hAnsi="Times New Roman" w:cs="Times New Roman"/>
          <w:color w:val="auto"/>
          <w:sz w:val="19"/>
          <w:szCs w:val="19"/>
        </w:rPr>
        <w:t>,</w:t>
      </w:r>
    </w:p>
    <w:p w:rsidR="00562CA4" w:rsidRPr="00705BE6" w:rsidRDefault="00645BDA" w:rsidP="00705BE6">
      <w:pPr>
        <w:pStyle w:val="20"/>
        <w:shd w:val="clear" w:color="auto" w:fill="auto"/>
        <w:tabs>
          <w:tab w:val="left" w:pos="5674"/>
        </w:tabs>
        <w:spacing w:after="217"/>
        <w:rPr>
          <w:rFonts w:ascii="Times New Roman" w:eastAsia="Yu Gothic UI Semilight" w:hAnsi="Times New Roman" w:cs="Times New Roman"/>
          <w:color w:val="auto"/>
          <w:sz w:val="19"/>
          <w:szCs w:val="19"/>
        </w:rPr>
      </w:pPr>
      <w:r w:rsidRPr="00705BE6">
        <w:rPr>
          <w:rFonts w:ascii="Times New Roman" w:eastAsia="Yu Gothic UI Semilight" w:hAnsi="Times New Roman" w:cs="Times New Roman"/>
          <w:color w:val="auto"/>
          <w:sz w:val="19"/>
          <w:szCs w:val="19"/>
        </w:rPr>
        <w:t>Высокогорский район, Республика Татарстан, 422700</w:t>
      </w:r>
      <w:r w:rsidRPr="00705BE6">
        <w:rPr>
          <w:rFonts w:ascii="Times New Roman" w:eastAsia="Yu Gothic UI Semilight" w:hAnsi="Times New Roman" w:cs="Times New Roman"/>
          <w:color w:val="auto"/>
          <w:sz w:val="19"/>
          <w:szCs w:val="19"/>
        </w:rPr>
        <w:tab/>
        <w:t xml:space="preserve">Биектау районы, Татарстан </w:t>
      </w:r>
      <w:proofErr w:type="spellStart"/>
      <w:r w:rsidRPr="00705BE6">
        <w:rPr>
          <w:rFonts w:ascii="Times New Roman" w:eastAsia="Yu Gothic UI Semilight" w:hAnsi="Times New Roman" w:cs="Times New Roman"/>
          <w:color w:val="auto"/>
          <w:sz w:val="19"/>
          <w:szCs w:val="19"/>
        </w:rPr>
        <w:t>Республикасы</w:t>
      </w:r>
      <w:proofErr w:type="spellEnd"/>
      <w:r w:rsidRPr="00705BE6">
        <w:rPr>
          <w:rFonts w:ascii="Times New Roman" w:eastAsia="Yu Gothic UI Semilight" w:hAnsi="Times New Roman" w:cs="Times New Roman"/>
          <w:color w:val="auto"/>
          <w:sz w:val="19"/>
          <w:szCs w:val="19"/>
        </w:rPr>
        <w:t>, 422700</w:t>
      </w:r>
    </w:p>
    <w:p w:rsidR="00562CA4" w:rsidRPr="00213682" w:rsidRDefault="00645BDA" w:rsidP="0060396A">
      <w:pPr>
        <w:pStyle w:val="20"/>
        <w:shd w:val="clear" w:color="auto" w:fill="auto"/>
        <w:spacing w:line="240" w:lineRule="auto"/>
        <w:ind w:left="782"/>
        <w:jc w:val="center"/>
        <w:rPr>
          <w:rFonts w:ascii="Cambria" w:eastAsia="Yu Gothic UI Semilight" w:hAnsi="Cambria" w:cs="Calibri"/>
          <w:color w:val="auto"/>
        </w:rPr>
      </w:pPr>
      <w:r w:rsidRPr="00213682">
        <w:rPr>
          <w:rFonts w:ascii="Cambria" w:eastAsia="Yu Gothic UI Semilight" w:hAnsi="Cambria" w:cs="Calibri"/>
          <w:color w:val="auto"/>
        </w:rPr>
        <w:t xml:space="preserve">Тел.: +7 (84365) 2-30-50, факс: 2-30-86, </w:t>
      </w:r>
      <w:r w:rsidRPr="00213682">
        <w:rPr>
          <w:rFonts w:ascii="Cambria" w:eastAsia="Yu Gothic UI Semilight" w:hAnsi="Cambria" w:cs="Calibri"/>
          <w:color w:val="auto"/>
          <w:lang w:val="en-US" w:eastAsia="en-US" w:bidi="en-US"/>
        </w:rPr>
        <w:t>e</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mail</w:t>
      </w:r>
      <w:r w:rsidRPr="00213682">
        <w:rPr>
          <w:rFonts w:ascii="Cambria" w:eastAsia="Yu Gothic UI Semilight" w:hAnsi="Cambria" w:cs="Calibri"/>
          <w:color w:val="auto"/>
          <w:lang w:eastAsia="en-US" w:bidi="en-US"/>
        </w:rPr>
        <w:t xml:space="preserve">: </w:t>
      </w:r>
      <w:hyperlink r:id="rId10" w:history="1">
        <w:r w:rsidRPr="00213682">
          <w:rPr>
            <w:rStyle w:val="a3"/>
            <w:rFonts w:ascii="Cambria" w:eastAsia="Yu Gothic UI Semilight" w:hAnsi="Cambria" w:cs="Calibri"/>
            <w:color w:val="auto"/>
            <w:u w:val="none"/>
            <w:lang w:val="en-US" w:eastAsia="en-US" w:bidi="en-US"/>
          </w:rPr>
          <w:t>biektau</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tatar</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ru</w:t>
        </w:r>
      </w:hyperlink>
      <w:r w:rsidRPr="00213682">
        <w:rPr>
          <w:rFonts w:ascii="Cambria" w:eastAsia="Yu Gothic UI Semilight" w:hAnsi="Cambria" w:cs="Calibri"/>
          <w:color w:val="auto"/>
          <w:lang w:eastAsia="en-US" w:bidi="en-US"/>
        </w:rPr>
        <w:t xml:space="preserve">, </w:t>
      </w:r>
      <w:r w:rsidRPr="00213682">
        <w:rPr>
          <w:rFonts w:ascii="Cambria" w:eastAsia="Yu Gothic UI Semilight" w:hAnsi="Cambria" w:cs="Calibri"/>
          <w:color w:val="auto"/>
          <w:lang w:val="en-US" w:eastAsia="en-US" w:bidi="en-US"/>
        </w:rPr>
        <w:t>www</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vysokaya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gora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tatarstan</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ru</w:t>
      </w:r>
    </w:p>
    <w:p w:rsidR="00C7184A" w:rsidRPr="002A18CD" w:rsidRDefault="00C7184A" w:rsidP="0060396A">
      <w:pPr>
        <w:pStyle w:val="40"/>
        <w:pBdr>
          <w:bottom w:val="single" w:sz="4" w:space="1" w:color="auto"/>
        </w:pBdr>
        <w:shd w:val="clear" w:color="auto" w:fill="auto"/>
        <w:spacing w:before="0" w:after="134" w:line="180" w:lineRule="exact"/>
        <w:jc w:val="center"/>
        <w:rPr>
          <w:color w:val="auto"/>
        </w:rPr>
      </w:pPr>
    </w:p>
    <w:p w:rsidR="00A932C6" w:rsidRDefault="00F40DBF" w:rsidP="00A932C6">
      <w:pPr>
        <w:pStyle w:val="20"/>
        <w:shd w:val="clear" w:color="auto" w:fill="auto"/>
        <w:spacing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A932C6" w:rsidRPr="00D64CA2">
        <w:rPr>
          <w:rFonts w:ascii="Times New Roman" w:hAnsi="Times New Roman" w:cs="Times New Roman"/>
          <w:b/>
          <w:color w:val="auto"/>
          <w:sz w:val="28"/>
          <w:szCs w:val="28"/>
        </w:rPr>
        <w:t>ПОСТАНОВЛЕНИЕ</w:t>
      </w:r>
      <w:r w:rsidR="002C0F51">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КАРАР</w:t>
      </w:r>
    </w:p>
    <w:p w:rsidR="00A932C6" w:rsidRDefault="00F40DBF" w:rsidP="00A932C6">
      <w:pPr>
        <w:pStyle w:val="20"/>
        <w:shd w:val="clear" w:color="auto" w:fill="auto"/>
        <w:spacing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 xml:space="preserve">от                                                       </w:t>
      </w:r>
      <w:r w:rsidR="002C0F51">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 xml:space="preserve"> №__</w:t>
      </w:r>
    </w:p>
    <w:p w:rsidR="002C0F51" w:rsidRPr="00EB0FEB" w:rsidRDefault="002C0F51" w:rsidP="002C0F51">
      <w:pPr>
        <w:pStyle w:val="1"/>
        <w:spacing w:before="0" w:after="0"/>
        <w:jc w:val="left"/>
        <w:rPr>
          <w:rStyle w:val="ac"/>
          <w:rFonts w:ascii="Times New Roman" w:hAnsi="Times New Roman"/>
          <w:b/>
          <w:bCs w:val="0"/>
          <w:color w:val="auto"/>
          <w:sz w:val="28"/>
          <w:szCs w:val="28"/>
        </w:rPr>
      </w:pPr>
      <w:r w:rsidRPr="00EB0FEB">
        <w:rPr>
          <w:rFonts w:ascii="Times New Roman" w:hAnsi="Times New Roman" w:cs="Times New Roman"/>
          <w:color w:val="auto"/>
          <w:sz w:val="28"/>
          <w:szCs w:val="28"/>
        </w:rPr>
        <w:fldChar w:fldCharType="begin"/>
      </w:r>
      <w:r w:rsidRPr="00EB0FEB">
        <w:rPr>
          <w:rFonts w:ascii="Times New Roman" w:hAnsi="Times New Roman" w:cs="Times New Roman"/>
          <w:color w:val="auto"/>
          <w:sz w:val="28"/>
          <w:szCs w:val="28"/>
        </w:rPr>
        <w:instrText>HYPERLINK "garantF1://22432608.0"</w:instrText>
      </w:r>
      <w:r w:rsidRPr="00EB0FEB">
        <w:rPr>
          <w:rFonts w:ascii="Times New Roman" w:hAnsi="Times New Roman" w:cs="Times New Roman"/>
          <w:color w:val="auto"/>
          <w:sz w:val="28"/>
          <w:szCs w:val="28"/>
        </w:rPr>
        <w:fldChar w:fldCharType="separat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2C0F51" w:rsidRPr="002C0F51" w:rsidTr="00F40DBF">
        <w:tc>
          <w:tcPr>
            <w:tcW w:w="5353" w:type="dxa"/>
          </w:tcPr>
          <w:p w:rsidR="002C0F51" w:rsidRPr="002C0F51" w:rsidRDefault="002C0F51" w:rsidP="00F40DBF">
            <w:pPr>
              <w:pStyle w:val="1"/>
              <w:spacing w:before="0" w:after="0"/>
              <w:ind w:right="27"/>
              <w:jc w:val="both"/>
              <w:outlineLvl w:val="0"/>
              <w:rPr>
                <w:rStyle w:val="ac"/>
                <w:rFonts w:ascii="Times New Roman" w:hAnsi="Times New Roman"/>
                <w:b/>
                <w:bCs w:val="0"/>
                <w:color w:val="auto"/>
                <w:sz w:val="28"/>
                <w:szCs w:val="28"/>
              </w:rPr>
            </w:pPr>
            <w:r w:rsidRPr="002C0F51">
              <w:rPr>
                <w:rStyle w:val="ac"/>
                <w:rFonts w:ascii="Times New Roman" w:hAnsi="Times New Roman"/>
                <w:b/>
                <w:bCs w:val="0"/>
                <w:color w:val="auto"/>
                <w:sz w:val="28"/>
                <w:szCs w:val="28"/>
              </w:rPr>
              <w:t>Об утверждении правил осуществления мониторинга и показателей мониторинга системы образования</w:t>
            </w:r>
            <w:r w:rsidRPr="002C0F51">
              <w:t xml:space="preserve"> </w:t>
            </w:r>
            <w:r w:rsidRPr="002C0F51">
              <w:rPr>
                <w:rStyle w:val="ac"/>
                <w:rFonts w:ascii="Times New Roman" w:hAnsi="Times New Roman"/>
                <w:b/>
                <w:bCs w:val="0"/>
                <w:color w:val="auto"/>
                <w:sz w:val="28"/>
                <w:szCs w:val="28"/>
              </w:rPr>
              <w:t>Высокогорского муниципального района Республики Татарстан</w:t>
            </w:r>
          </w:p>
        </w:tc>
        <w:bookmarkStart w:id="0" w:name="_GoBack"/>
        <w:bookmarkEnd w:id="0"/>
      </w:tr>
    </w:tbl>
    <w:p w:rsidR="002C0F51" w:rsidRDefault="002C0F51" w:rsidP="002C0F51">
      <w:pPr>
        <w:pStyle w:val="1"/>
        <w:spacing w:before="0" w:after="0"/>
        <w:rPr>
          <w:rFonts w:ascii="Times New Roman" w:hAnsi="Times New Roman" w:cs="Times New Roman"/>
          <w:color w:val="auto"/>
          <w:sz w:val="28"/>
          <w:szCs w:val="28"/>
        </w:rPr>
      </w:pPr>
      <w:r w:rsidRPr="00EB0FEB">
        <w:rPr>
          <w:rFonts w:ascii="Times New Roman" w:hAnsi="Times New Roman" w:cs="Times New Roman"/>
          <w:color w:val="auto"/>
          <w:sz w:val="28"/>
          <w:szCs w:val="28"/>
        </w:rPr>
        <w:fldChar w:fldCharType="end"/>
      </w:r>
    </w:p>
    <w:p w:rsidR="00F40DBF" w:rsidRDefault="002C0F51" w:rsidP="00F40DBF">
      <w:pPr>
        <w:pStyle w:val="1"/>
        <w:spacing w:before="0" w:after="0"/>
        <w:ind w:firstLine="720"/>
        <w:jc w:val="both"/>
        <w:rPr>
          <w:rFonts w:ascii="Times New Roman" w:hAnsi="Times New Roman" w:cs="Times New Roman"/>
          <w:b w:val="0"/>
          <w:color w:val="auto"/>
          <w:sz w:val="28"/>
          <w:szCs w:val="28"/>
        </w:rPr>
      </w:pPr>
      <w:r w:rsidRPr="002C0F51">
        <w:rPr>
          <w:rFonts w:ascii="Times New Roman" w:hAnsi="Times New Roman" w:cs="Times New Roman"/>
          <w:b w:val="0"/>
          <w:color w:val="auto"/>
          <w:sz w:val="28"/>
          <w:szCs w:val="28"/>
        </w:rPr>
        <w:t xml:space="preserve">В соответствии с </w:t>
      </w:r>
      <w:hyperlink r:id="rId11" w:history="1">
        <w:r w:rsidRPr="002C0F51">
          <w:rPr>
            <w:rStyle w:val="ac"/>
            <w:rFonts w:ascii="Times New Roman" w:hAnsi="Times New Roman"/>
            <w:color w:val="auto"/>
            <w:sz w:val="28"/>
            <w:szCs w:val="28"/>
          </w:rPr>
          <w:t>пунктом 4</w:t>
        </w:r>
      </w:hyperlink>
      <w:r w:rsidRPr="002C0F51">
        <w:rPr>
          <w:rFonts w:ascii="Times New Roman" w:hAnsi="Times New Roman" w:cs="Times New Roman"/>
          <w:b w:val="0"/>
          <w:color w:val="auto"/>
          <w:sz w:val="28"/>
          <w:szCs w:val="28"/>
        </w:rPr>
        <w:t xml:space="preserve"> Правил осуществления мониторинга системы образования, утвержденных </w:t>
      </w:r>
      <w:hyperlink r:id="rId12" w:history="1">
        <w:r w:rsidRPr="002C0F51">
          <w:rPr>
            <w:rStyle w:val="ac"/>
            <w:rFonts w:ascii="Times New Roman" w:hAnsi="Times New Roman"/>
            <w:color w:val="auto"/>
            <w:sz w:val="28"/>
            <w:szCs w:val="28"/>
          </w:rPr>
          <w:t>постановлением</w:t>
        </w:r>
      </w:hyperlink>
      <w:r w:rsidRPr="002C0F51">
        <w:rPr>
          <w:rFonts w:ascii="Times New Roman" w:hAnsi="Times New Roman" w:cs="Times New Roman"/>
          <w:b w:val="0"/>
          <w:color w:val="auto"/>
          <w:sz w:val="28"/>
          <w:szCs w:val="28"/>
        </w:rPr>
        <w:t xml:space="preserve"> Правительства Российской Федерации от 5 августа 2013 года N 662 "Об осуществлении мониторинга системы образования" и </w:t>
      </w:r>
      <w:hyperlink r:id="rId13" w:history="1">
        <w:r w:rsidRPr="002C0F51">
          <w:rPr>
            <w:rStyle w:val="ac"/>
            <w:rFonts w:ascii="Times New Roman" w:hAnsi="Times New Roman"/>
            <w:color w:val="auto"/>
            <w:sz w:val="28"/>
            <w:szCs w:val="28"/>
          </w:rPr>
          <w:t>Показателями</w:t>
        </w:r>
      </w:hyperlink>
      <w:r w:rsidRPr="002C0F51">
        <w:rPr>
          <w:rFonts w:ascii="Times New Roman" w:hAnsi="Times New Roman" w:cs="Times New Roman"/>
          <w:b w:val="0"/>
          <w:color w:val="auto"/>
          <w:sz w:val="28"/>
          <w:szCs w:val="28"/>
        </w:rPr>
        <w:t xml:space="preserve"> мониторинга системы образования, утвержденными </w:t>
      </w:r>
      <w:hyperlink r:id="rId14" w:history="1">
        <w:r w:rsidRPr="002C0F51">
          <w:rPr>
            <w:rStyle w:val="ac"/>
            <w:rFonts w:ascii="Times New Roman" w:hAnsi="Times New Roman"/>
            <w:color w:val="auto"/>
            <w:sz w:val="28"/>
            <w:szCs w:val="28"/>
          </w:rPr>
          <w:t>приказом</w:t>
        </w:r>
      </w:hyperlink>
      <w:r w:rsidRPr="002C0F51">
        <w:rPr>
          <w:rFonts w:ascii="Times New Roman" w:hAnsi="Times New Roman" w:cs="Times New Roman"/>
          <w:b w:val="0"/>
          <w:color w:val="auto"/>
          <w:sz w:val="28"/>
          <w:szCs w:val="28"/>
        </w:rPr>
        <w:t xml:space="preserve"> Министерства образования и науки Российской Федерации от 22.09.2017 № 955 "Об утверждении показателей мониторинга системы образования", Исполнительный комитет Высокогорского муниципального района ПОСТАНОВЛЯЕТ:</w:t>
      </w:r>
      <w:bookmarkStart w:id="1" w:name="sub_1"/>
    </w:p>
    <w:p w:rsidR="00F40DBF" w:rsidRPr="00F40DBF" w:rsidRDefault="00F40DBF" w:rsidP="00F40DBF">
      <w:pPr>
        <w:rPr>
          <w:lang w:bidi="ar-SA"/>
        </w:rPr>
      </w:pPr>
    </w:p>
    <w:p w:rsidR="002C0F51" w:rsidRPr="002C0F51" w:rsidRDefault="002C0F51" w:rsidP="00F40DBF">
      <w:pPr>
        <w:ind w:firstLine="708"/>
        <w:jc w:val="both"/>
        <w:rPr>
          <w:rFonts w:ascii="Times New Roman" w:hAnsi="Times New Roman" w:cs="Times New Roman"/>
          <w:sz w:val="28"/>
          <w:szCs w:val="28"/>
        </w:rPr>
      </w:pPr>
      <w:r w:rsidRPr="002C0F51">
        <w:rPr>
          <w:rFonts w:ascii="Times New Roman" w:hAnsi="Times New Roman" w:cs="Times New Roman"/>
          <w:sz w:val="28"/>
          <w:szCs w:val="28"/>
        </w:rPr>
        <w:t xml:space="preserve">1. Утвердить </w:t>
      </w:r>
      <w:hyperlink w:anchor="sub_100" w:history="1">
        <w:r w:rsidRPr="002C0F51">
          <w:rPr>
            <w:rStyle w:val="ac"/>
            <w:rFonts w:ascii="Times New Roman" w:hAnsi="Times New Roman"/>
            <w:b w:val="0"/>
            <w:color w:val="auto"/>
            <w:sz w:val="28"/>
            <w:szCs w:val="28"/>
          </w:rPr>
          <w:t>Правила</w:t>
        </w:r>
      </w:hyperlink>
      <w:r w:rsidRPr="002C0F51">
        <w:rPr>
          <w:rFonts w:ascii="Times New Roman" w:hAnsi="Times New Roman" w:cs="Times New Roman"/>
          <w:sz w:val="28"/>
          <w:szCs w:val="28"/>
        </w:rPr>
        <w:t xml:space="preserve"> осуществления мониторинга системы образования Высокогорского муниципального района Республики Татарстан (приложение №1).</w:t>
      </w:r>
    </w:p>
    <w:p w:rsidR="002C0F51" w:rsidRPr="002C0F51" w:rsidRDefault="002C0F51" w:rsidP="00F40DBF">
      <w:pPr>
        <w:ind w:firstLine="708"/>
        <w:jc w:val="both"/>
        <w:rPr>
          <w:rFonts w:ascii="Times New Roman" w:hAnsi="Times New Roman" w:cs="Times New Roman"/>
          <w:sz w:val="28"/>
          <w:szCs w:val="28"/>
        </w:rPr>
      </w:pPr>
      <w:bookmarkStart w:id="2" w:name="sub_2"/>
      <w:bookmarkEnd w:id="1"/>
      <w:r w:rsidRPr="002C0F51">
        <w:rPr>
          <w:rFonts w:ascii="Times New Roman" w:hAnsi="Times New Roman" w:cs="Times New Roman"/>
          <w:sz w:val="28"/>
          <w:szCs w:val="28"/>
        </w:rPr>
        <w:t xml:space="preserve">2. Утвердить </w:t>
      </w:r>
      <w:hyperlink w:anchor="sub_200" w:history="1">
        <w:r w:rsidRPr="002C0F51">
          <w:rPr>
            <w:rStyle w:val="ac"/>
            <w:rFonts w:ascii="Times New Roman" w:hAnsi="Times New Roman"/>
            <w:b w:val="0"/>
            <w:color w:val="auto"/>
            <w:sz w:val="28"/>
            <w:szCs w:val="28"/>
          </w:rPr>
          <w:t>Показатели</w:t>
        </w:r>
      </w:hyperlink>
      <w:r w:rsidRPr="002C0F51">
        <w:rPr>
          <w:rFonts w:ascii="Times New Roman" w:hAnsi="Times New Roman" w:cs="Times New Roman"/>
          <w:sz w:val="28"/>
          <w:szCs w:val="28"/>
        </w:rPr>
        <w:t xml:space="preserve"> мониторинга системы образования Высокогорского муниципального района Республики Татарстан (приложение №2).</w:t>
      </w:r>
    </w:p>
    <w:p w:rsidR="00F40DBF" w:rsidRDefault="002C0F51" w:rsidP="00F40DBF">
      <w:pPr>
        <w:ind w:firstLine="708"/>
        <w:jc w:val="both"/>
        <w:rPr>
          <w:rFonts w:ascii="Times New Roman" w:hAnsi="Times New Roman" w:cs="Times New Roman"/>
          <w:sz w:val="28"/>
          <w:szCs w:val="28"/>
        </w:rPr>
      </w:pPr>
      <w:bookmarkStart w:id="3" w:name="sub_3"/>
      <w:bookmarkEnd w:id="2"/>
      <w:r w:rsidRPr="002C0F51">
        <w:rPr>
          <w:rFonts w:ascii="Times New Roman" w:hAnsi="Times New Roman" w:cs="Times New Roman"/>
          <w:sz w:val="28"/>
          <w:szCs w:val="28"/>
        </w:rPr>
        <w:t xml:space="preserve">3. </w:t>
      </w:r>
      <w:bookmarkStart w:id="4" w:name="sub_4"/>
      <w:bookmarkEnd w:id="3"/>
      <w:r w:rsidR="00F40DBF" w:rsidRPr="00F40DBF">
        <w:rPr>
          <w:rFonts w:ascii="Times New Roman" w:hAnsi="Times New Roman" w:cs="Times New Roman"/>
          <w:sz w:val="28"/>
          <w:szCs w:val="28"/>
        </w:rPr>
        <w:t>Обнародовать настоящее постановление на официальном сайте муниципального образования «Высокогорский муниципальный район Республики Татарстан» в информационно-телекоммуникационной сети интернет по адресу: http://vysokaya-gora.tatarstan.ru/ и на портале правовой информации Республики Татарстан по веб адресу: http://pravo.tatarstan.ru.</w:t>
      </w:r>
    </w:p>
    <w:p w:rsidR="002C0F51" w:rsidRPr="002C0F51" w:rsidRDefault="002C0F51" w:rsidP="00F40DBF">
      <w:pPr>
        <w:ind w:firstLine="708"/>
        <w:jc w:val="both"/>
        <w:rPr>
          <w:rFonts w:ascii="Times New Roman" w:hAnsi="Times New Roman" w:cs="Times New Roman"/>
          <w:sz w:val="28"/>
          <w:szCs w:val="28"/>
        </w:rPr>
      </w:pPr>
      <w:r w:rsidRPr="002C0F51">
        <w:rPr>
          <w:rFonts w:ascii="Times New Roman" w:hAnsi="Times New Roman" w:cs="Times New Roman"/>
          <w:sz w:val="28"/>
          <w:szCs w:val="28"/>
        </w:rPr>
        <w:t xml:space="preserve">4. Контроль исполнения настоящего постановления возложить на заместителя руководителя исполнительного комитета – начальника отдела образования Н.К. </w:t>
      </w:r>
      <w:proofErr w:type="spellStart"/>
      <w:r w:rsidRPr="002C0F51">
        <w:rPr>
          <w:rFonts w:ascii="Times New Roman" w:hAnsi="Times New Roman" w:cs="Times New Roman"/>
          <w:sz w:val="28"/>
          <w:szCs w:val="28"/>
        </w:rPr>
        <w:t>Ахметзянова</w:t>
      </w:r>
      <w:proofErr w:type="spellEnd"/>
    </w:p>
    <w:p w:rsidR="002C0F51" w:rsidRPr="002C0F51" w:rsidRDefault="002C0F51" w:rsidP="002C0F51">
      <w:pPr>
        <w:ind w:left="709"/>
        <w:contextualSpacing/>
        <w:rPr>
          <w:rFonts w:ascii="Times New Roman" w:hAnsi="Times New Roman" w:cs="Times New Roman"/>
          <w:sz w:val="28"/>
          <w:szCs w:val="28"/>
        </w:rPr>
      </w:pPr>
    </w:p>
    <w:p w:rsidR="002C0F51" w:rsidRPr="002C0F51" w:rsidRDefault="002C0F51" w:rsidP="002C0F51">
      <w:pPr>
        <w:contextualSpacing/>
        <w:rPr>
          <w:rFonts w:ascii="Times New Roman" w:hAnsi="Times New Roman" w:cs="Times New Roman"/>
          <w:sz w:val="28"/>
          <w:szCs w:val="28"/>
        </w:rPr>
      </w:pPr>
    </w:p>
    <w:p w:rsidR="002C0F51" w:rsidRPr="002C0F51" w:rsidRDefault="002C0F51" w:rsidP="002C0F51">
      <w:pPr>
        <w:contextualSpacing/>
        <w:rPr>
          <w:rFonts w:ascii="Times New Roman" w:hAnsi="Times New Roman" w:cs="Times New Roman"/>
          <w:sz w:val="28"/>
          <w:szCs w:val="28"/>
        </w:rPr>
      </w:pPr>
      <w:r w:rsidRPr="002C0F51">
        <w:rPr>
          <w:rFonts w:ascii="Times New Roman" w:hAnsi="Times New Roman" w:cs="Times New Roman"/>
          <w:sz w:val="28"/>
          <w:szCs w:val="28"/>
        </w:rPr>
        <w:t>Руководитель исполнительного</w:t>
      </w:r>
      <w:r w:rsidR="00F40DBF">
        <w:rPr>
          <w:rFonts w:ascii="Times New Roman" w:hAnsi="Times New Roman" w:cs="Times New Roman"/>
          <w:sz w:val="28"/>
          <w:szCs w:val="28"/>
        </w:rPr>
        <w:t xml:space="preserve"> комитета</w:t>
      </w:r>
    </w:p>
    <w:p w:rsidR="002C0F51" w:rsidRPr="002C0F51" w:rsidRDefault="002C0F51" w:rsidP="002C0F51">
      <w:pPr>
        <w:contextualSpacing/>
        <w:rPr>
          <w:rFonts w:ascii="Times New Roman" w:hAnsi="Times New Roman" w:cs="Times New Roman"/>
          <w:sz w:val="28"/>
          <w:szCs w:val="28"/>
        </w:rPr>
      </w:pPr>
      <w:r w:rsidRPr="002C0F51">
        <w:rPr>
          <w:rFonts w:ascii="Times New Roman" w:hAnsi="Times New Roman" w:cs="Times New Roman"/>
          <w:sz w:val="28"/>
          <w:szCs w:val="28"/>
        </w:rPr>
        <w:t xml:space="preserve">Высокогорского муниципального района                                      </w:t>
      </w:r>
      <w:r>
        <w:rPr>
          <w:rFonts w:ascii="Times New Roman" w:hAnsi="Times New Roman" w:cs="Times New Roman"/>
          <w:sz w:val="28"/>
          <w:szCs w:val="28"/>
        </w:rPr>
        <w:t xml:space="preserve">   </w:t>
      </w:r>
      <w:r w:rsidR="00F40DBF">
        <w:rPr>
          <w:rFonts w:ascii="Times New Roman" w:hAnsi="Times New Roman" w:cs="Times New Roman"/>
          <w:sz w:val="28"/>
          <w:szCs w:val="28"/>
        </w:rPr>
        <w:t xml:space="preserve">      </w:t>
      </w:r>
      <w:r w:rsidRPr="002C0F51">
        <w:rPr>
          <w:rFonts w:ascii="Times New Roman" w:hAnsi="Times New Roman" w:cs="Times New Roman"/>
          <w:sz w:val="28"/>
          <w:szCs w:val="28"/>
        </w:rPr>
        <w:t>Д.Ф.Шайдуллин</w:t>
      </w:r>
      <w:bookmarkEnd w:id="4"/>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F40DBF" w:rsidRDefault="00F40DBF" w:rsidP="00F40DBF">
      <w:pPr>
        <w:pStyle w:val="aa"/>
        <w:rPr>
          <w:rFonts w:ascii="Times New Roman" w:eastAsia="Microsoft Sans Serif" w:hAnsi="Times New Roman" w:cs="Times New Roman"/>
          <w:color w:val="000000"/>
          <w:sz w:val="28"/>
          <w:szCs w:val="28"/>
          <w:lang w:eastAsia="ru-RU" w:bidi="ru-RU"/>
        </w:rPr>
      </w:pPr>
    </w:p>
    <w:p w:rsidR="00F40DBF" w:rsidRDefault="00F40DBF" w:rsidP="00F40DBF">
      <w:pPr>
        <w:pStyle w:val="aa"/>
        <w:rPr>
          <w:rFonts w:ascii="Times New Roman" w:hAnsi="Times New Roman" w:cs="Times New Roman"/>
          <w:sz w:val="28"/>
          <w:szCs w:val="28"/>
        </w:rPr>
      </w:pPr>
    </w:p>
    <w:p w:rsidR="00E81FE8" w:rsidRDefault="00E81FE8" w:rsidP="002C0F51">
      <w:pPr>
        <w:pStyle w:val="aa"/>
        <w:ind w:left="5245"/>
        <w:jc w:val="right"/>
        <w:rPr>
          <w:rFonts w:ascii="Times New Roman" w:hAnsi="Times New Roman" w:cs="Times New Roman"/>
          <w:sz w:val="24"/>
          <w:szCs w:val="24"/>
        </w:rPr>
      </w:pPr>
    </w:p>
    <w:p w:rsidR="002C0F51" w:rsidRPr="00E25A42" w:rsidRDefault="00E25A42" w:rsidP="002C0F51">
      <w:pPr>
        <w:pStyle w:val="aa"/>
        <w:ind w:left="5245"/>
        <w:jc w:val="right"/>
        <w:rPr>
          <w:rFonts w:ascii="Times New Roman" w:hAnsi="Times New Roman" w:cs="Times New Roman"/>
          <w:sz w:val="24"/>
          <w:szCs w:val="24"/>
        </w:rPr>
      </w:pPr>
      <w:r w:rsidRPr="00E25A42">
        <w:rPr>
          <w:rFonts w:ascii="Times New Roman" w:hAnsi="Times New Roman" w:cs="Times New Roman"/>
          <w:sz w:val="24"/>
          <w:szCs w:val="24"/>
        </w:rPr>
        <w:lastRenderedPageBreak/>
        <w:t>Приложение №</w:t>
      </w:r>
      <w:r w:rsidR="002C0F51" w:rsidRPr="00E25A42">
        <w:rPr>
          <w:rFonts w:ascii="Times New Roman" w:hAnsi="Times New Roman" w:cs="Times New Roman"/>
          <w:sz w:val="24"/>
          <w:szCs w:val="24"/>
        </w:rPr>
        <w:t xml:space="preserve"> 1</w:t>
      </w:r>
    </w:p>
    <w:p w:rsidR="002C0F51" w:rsidRPr="00E25A42" w:rsidRDefault="002C0F51" w:rsidP="00E25A42">
      <w:pPr>
        <w:pStyle w:val="aa"/>
        <w:ind w:left="6372"/>
        <w:rPr>
          <w:rFonts w:ascii="Times New Roman" w:hAnsi="Times New Roman" w:cs="Times New Roman"/>
          <w:sz w:val="24"/>
          <w:szCs w:val="24"/>
        </w:rPr>
      </w:pPr>
      <w:r w:rsidRPr="00E25A42">
        <w:rPr>
          <w:rFonts w:ascii="Times New Roman" w:hAnsi="Times New Roman" w:cs="Times New Roman"/>
          <w:sz w:val="24"/>
          <w:szCs w:val="24"/>
        </w:rPr>
        <w:t xml:space="preserve">             «Утвержден</w:t>
      </w:r>
      <w:r w:rsidR="00F40DBF" w:rsidRPr="00E25A42">
        <w:rPr>
          <w:rFonts w:ascii="Times New Roman" w:hAnsi="Times New Roman" w:cs="Times New Roman"/>
          <w:sz w:val="24"/>
          <w:szCs w:val="24"/>
        </w:rPr>
        <w:t>о</w:t>
      </w:r>
      <w:r w:rsidRPr="00E25A42">
        <w:rPr>
          <w:rFonts w:ascii="Times New Roman" w:hAnsi="Times New Roman" w:cs="Times New Roman"/>
          <w:sz w:val="24"/>
          <w:szCs w:val="24"/>
        </w:rPr>
        <w:t>»</w:t>
      </w:r>
    </w:p>
    <w:p w:rsidR="002C0F51" w:rsidRPr="00E25A42" w:rsidRDefault="002C0F51" w:rsidP="00E25A42">
      <w:pPr>
        <w:pStyle w:val="aa"/>
        <w:ind w:left="6372"/>
        <w:rPr>
          <w:rFonts w:ascii="Times New Roman" w:hAnsi="Times New Roman" w:cs="Times New Roman"/>
          <w:sz w:val="24"/>
          <w:szCs w:val="24"/>
        </w:rPr>
      </w:pPr>
      <w:r w:rsidRPr="00E25A42">
        <w:rPr>
          <w:rFonts w:ascii="Times New Roman" w:hAnsi="Times New Roman" w:cs="Times New Roman"/>
          <w:sz w:val="24"/>
          <w:szCs w:val="24"/>
        </w:rPr>
        <w:t xml:space="preserve">Постановлением исполнительного комитета Высокогорского муниципального </w:t>
      </w:r>
      <w:r w:rsidR="00E25A42" w:rsidRPr="00E25A42">
        <w:rPr>
          <w:rFonts w:ascii="Times New Roman" w:hAnsi="Times New Roman" w:cs="Times New Roman"/>
          <w:sz w:val="24"/>
          <w:szCs w:val="24"/>
        </w:rPr>
        <w:t>района РТ</w:t>
      </w:r>
    </w:p>
    <w:p w:rsidR="002C0F51" w:rsidRPr="002C0F51" w:rsidRDefault="002C0F51" w:rsidP="00E25A42">
      <w:pPr>
        <w:pStyle w:val="aa"/>
        <w:ind w:left="6372"/>
        <w:rPr>
          <w:rFonts w:ascii="Times New Roman" w:hAnsi="Times New Roman" w:cs="Times New Roman"/>
          <w:sz w:val="28"/>
          <w:szCs w:val="28"/>
        </w:rPr>
      </w:pPr>
      <w:r w:rsidRPr="00E25A42">
        <w:rPr>
          <w:rFonts w:ascii="Times New Roman" w:hAnsi="Times New Roman" w:cs="Times New Roman"/>
          <w:sz w:val="24"/>
          <w:szCs w:val="24"/>
        </w:rPr>
        <w:t>от «___</w:t>
      </w:r>
      <w:r w:rsidR="00E25A42" w:rsidRPr="00E25A42">
        <w:rPr>
          <w:rFonts w:ascii="Times New Roman" w:hAnsi="Times New Roman" w:cs="Times New Roman"/>
          <w:sz w:val="24"/>
          <w:szCs w:val="24"/>
        </w:rPr>
        <w:t>_» _</w:t>
      </w:r>
      <w:r w:rsidRPr="00E25A42">
        <w:rPr>
          <w:rFonts w:ascii="Times New Roman" w:hAnsi="Times New Roman" w:cs="Times New Roman"/>
          <w:sz w:val="24"/>
          <w:szCs w:val="24"/>
        </w:rPr>
        <w:t>______201</w:t>
      </w:r>
      <w:r w:rsidR="00F40DBF" w:rsidRPr="00E25A42">
        <w:rPr>
          <w:rFonts w:ascii="Times New Roman" w:hAnsi="Times New Roman" w:cs="Times New Roman"/>
          <w:sz w:val="24"/>
          <w:szCs w:val="24"/>
        </w:rPr>
        <w:t>9</w:t>
      </w:r>
      <w:r w:rsidRPr="00E25A42">
        <w:rPr>
          <w:rFonts w:ascii="Times New Roman" w:hAnsi="Times New Roman" w:cs="Times New Roman"/>
          <w:sz w:val="24"/>
          <w:szCs w:val="24"/>
        </w:rPr>
        <w:t xml:space="preserve"> г   №______</w:t>
      </w:r>
    </w:p>
    <w:p w:rsidR="002C0F51" w:rsidRPr="002C0F51" w:rsidRDefault="002C0F51" w:rsidP="002C0F51">
      <w:pPr>
        <w:rPr>
          <w:rFonts w:ascii="Times New Roman" w:hAnsi="Times New Roman" w:cs="Times New Roman"/>
          <w:sz w:val="28"/>
          <w:szCs w:val="28"/>
        </w:rPr>
      </w:pPr>
    </w:p>
    <w:p w:rsidR="002C0F51" w:rsidRPr="002C0F51" w:rsidRDefault="002C0F51" w:rsidP="002C0F51">
      <w:pPr>
        <w:pStyle w:val="1"/>
        <w:spacing w:before="0" w:after="0"/>
        <w:rPr>
          <w:rFonts w:ascii="Times New Roman" w:hAnsi="Times New Roman" w:cs="Times New Roman"/>
          <w:b w:val="0"/>
          <w:color w:val="auto"/>
          <w:sz w:val="28"/>
          <w:szCs w:val="28"/>
        </w:rPr>
      </w:pPr>
      <w:bookmarkStart w:id="5" w:name="sub_100"/>
      <w:r w:rsidRPr="002C0F51">
        <w:rPr>
          <w:rFonts w:ascii="Times New Roman" w:hAnsi="Times New Roman" w:cs="Times New Roman"/>
          <w:b w:val="0"/>
          <w:color w:val="auto"/>
          <w:sz w:val="28"/>
          <w:szCs w:val="28"/>
        </w:rPr>
        <w:t>Правила</w:t>
      </w:r>
      <w:r w:rsidRPr="002C0F51">
        <w:rPr>
          <w:rFonts w:ascii="Times New Roman" w:hAnsi="Times New Roman" w:cs="Times New Roman"/>
          <w:b w:val="0"/>
          <w:color w:val="auto"/>
          <w:sz w:val="28"/>
          <w:szCs w:val="28"/>
        </w:rPr>
        <w:br/>
        <w:t>осуществления мониторинга системы образования Высокогор</w:t>
      </w:r>
      <w:r w:rsidR="00F40DBF">
        <w:rPr>
          <w:rFonts w:ascii="Times New Roman" w:hAnsi="Times New Roman" w:cs="Times New Roman"/>
          <w:b w:val="0"/>
          <w:color w:val="auto"/>
          <w:sz w:val="28"/>
          <w:szCs w:val="28"/>
        </w:rPr>
        <w:t>с</w:t>
      </w:r>
      <w:r w:rsidRPr="002C0F51">
        <w:rPr>
          <w:rFonts w:ascii="Times New Roman" w:hAnsi="Times New Roman" w:cs="Times New Roman"/>
          <w:b w:val="0"/>
          <w:color w:val="auto"/>
          <w:sz w:val="28"/>
          <w:szCs w:val="28"/>
        </w:rPr>
        <w:t>кого муниципального района Республики Татарстан</w:t>
      </w:r>
    </w:p>
    <w:bookmarkEnd w:id="5"/>
    <w:p w:rsidR="002C0F51" w:rsidRPr="002C0F51" w:rsidRDefault="002C0F51" w:rsidP="002C0F51">
      <w:pPr>
        <w:rPr>
          <w:rFonts w:ascii="Times New Roman" w:hAnsi="Times New Roman" w:cs="Times New Roman"/>
          <w:sz w:val="28"/>
          <w:szCs w:val="28"/>
        </w:rPr>
      </w:pPr>
    </w:p>
    <w:p w:rsidR="002C0F51" w:rsidRPr="002C0F51" w:rsidRDefault="002C0F51" w:rsidP="002C0F51">
      <w:pPr>
        <w:ind w:firstLine="708"/>
        <w:jc w:val="both"/>
        <w:rPr>
          <w:rFonts w:ascii="Times New Roman" w:hAnsi="Times New Roman" w:cs="Times New Roman"/>
          <w:sz w:val="28"/>
          <w:szCs w:val="28"/>
        </w:rPr>
      </w:pPr>
      <w:bookmarkStart w:id="6" w:name="sub_101"/>
      <w:r w:rsidRPr="002C0F51">
        <w:rPr>
          <w:rFonts w:ascii="Times New Roman" w:hAnsi="Times New Roman" w:cs="Times New Roman"/>
          <w:sz w:val="28"/>
          <w:szCs w:val="28"/>
        </w:rPr>
        <w:t>1. Настоящие Правила устанавливают порядок осуществления мониторинга системы образования Высокогорского муниципального района (далее по тексту - мониторинг).</w:t>
      </w:r>
    </w:p>
    <w:p w:rsidR="002C0F51" w:rsidRPr="002C0F51" w:rsidRDefault="002C0F51" w:rsidP="002C0F51">
      <w:pPr>
        <w:ind w:firstLine="708"/>
        <w:jc w:val="both"/>
        <w:rPr>
          <w:rFonts w:ascii="Times New Roman" w:hAnsi="Times New Roman" w:cs="Times New Roman"/>
          <w:sz w:val="28"/>
          <w:szCs w:val="28"/>
        </w:rPr>
      </w:pPr>
      <w:bookmarkStart w:id="7" w:name="sub_102"/>
      <w:bookmarkEnd w:id="6"/>
      <w:r w:rsidRPr="002C0F51">
        <w:rPr>
          <w:rFonts w:ascii="Times New Roman" w:hAnsi="Times New Roman" w:cs="Times New Roman"/>
          <w:sz w:val="28"/>
          <w:szCs w:val="28"/>
        </w:rPr>
        <w:t>2.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 непрерывного системного анализа и оценки состояния и перспектив развития образования (в том числе в части эффективности деятельности организаций, осуществляющих образовательную деятельность), усиления результативности функционирования образовательной системы за счет повышения качества принимаемых для нее управленческих решений, а также в целях выявления нарушения требований законодательства об образовании.</w:t>
      </w:r>
    </w:p>
    <w:p w:rsidR="002C0F51" w:rsidRPr="002C0F51" w:rsidRDefault="002C0F51" w:rsidP="002C0F51">
      <w:pPr>
        <w:ind w:firstLine="708"/>
        <w:jc w:val="both"/>
        <w:rPr>
          <w:rFonts w:ascii="Times New Roman" w:hAnsi="Times New Roman" w:cs="Times New Roman"/>
          <w:sz w:val="28"/>
          <w:szCs w:val="28"/>
        </w:rPr>
      </w:pPr>
      <w:bookmarkStart w:id="8" w:name="sub_103"/>
      <w:bookmarkEnd w:id="7"/>
      <w:r w:rsidRPr="002C0F51">
        <w:rPr>
          <w:rFonts w:ascii="Times New Roman" w:hAnsi="Times New Roman" w:cs="Times New Roman"/>
          <w:sz w:val="28"/>
          <w:szCs w:val="28"/>
        </w:rPr>
        <w:t>3. Мониторинг включает в себя сбор информации о системе образования, обработку, систематизацию и хранение полученной информации, а также непрерывный системный анализ состояния и перспектив развития образования, выполненный на основе указанной информации (далее - сбор, обработка и анализ информации).</w:t>
      </w:r>
    </w:p>
    <w:p w:rsidR="002C0F51" w:rsidRPr="002C0F51" w:rsidRDefault="002C0F51" w:rsidP="002C0F51">
      <w:pPr>
        <w:ind w:firstLine="708"/>
        <w:jc w:val="both"/>
        <w:rPr>
          <w:rFonts w:ascii="Times New Roman" w:hAnsi="Times New Roman" w:cs="Times New Roman"/>
          <w:sz w:val="28"/>
          <w:szCs w:val="28"/>
        </w:rPr>
      </w:pPr>
      <w:bookmarkStart w:id="9" w:name="sub_104"/>
      <w:bookmarkEnd w:id="8"/>
      <w:r w:rsidRPr="002C0F51">
        <w:rPr>
          <w:rFonts w:ascii="Times New Roman" w:hAnsi="Times New Roman" w:cs="Times New Roman"/>
          <w:sz w:val="28"/>
          <w:szCs w:val="28"/>
        </w:rPr>
        <w:t>4. Организация мониторинга осуществляется МКУ "Отдел образования Исполнительного комитета Высокогорского муниципального района Республики Татарстан" (далее по тексту - Отдел образования).</w:t>
      </w:r>
    </w:p>
    <w:p w:rsidR="002C0F51" w:rsidRPr="002C0F51" w:rsidRDefault="002C0F51" w:rsidP="002C0F51">
      <w:pPr>
        <w:ind w:firstLine="708"/>
        <w:jc w:val="both"/>
        <w:rPr>
          <w:rFonts w:ascii="Times New Roman" w:hAnsi="Times New Roman" w:cs="Times New Roman"/>
          <w:sz w:val="28"/>
          <w:szCs w:val="28"/>
        </w:rPr>
      </w:pPr>
      <w:bookmarkStart w:id="10" w:name="sub_105"/>
      <w:bookmarkEnd w:id="9"/>
      <w:r w:rsidRPr="002C0F51">
        <w:rPr>
          <w:rFonts w:ascii="Times New Roman" w:hAnsi="Times New Roman" w:cs="Times New Roman"/>
          <w:sz w:val="28"/>
          <w:szCs w:val="28"/>
        </w:rPr>
        <w:t xml:space="preserve">5. Управление образования при проведении мониторинга в пределах своей компетенции осуществляет сбор, обработку и анализ информации в порядке, установленном </w:t>
      </w:r>
      <w:hyperlink r:id="rId15" w:history="1">
        <w:r w:rsidRPr="002C0F51">
          <w:rPr>
            <w:rStyle w:val="ac"/>
            <w:rFonts w:ascii="Times New Roman" w:hAnsi="Times New Roman"/>
            <w:b w:val="0"/>
            <w:color w:val="auto"/>
            <w:sz w:val="28"/>
            <w:szCs w:val="28"/>
          </w:rPr>
          <w:t>Федеральным законом</w:t>
        </w:r>
      </w:hyperlink>
      <w:r w:rsidRPr="002C0F51">
        <w:rPr>
          <w:rFonts w:ascii="Times New Roman" w:hAnsi="Times New Roman" w:cs="Times New Roman"/>
          <w:sz w:val="28"/>
          <w:szCs w:val="28"/>
        </w:rPr>
        <w:t xml:space="preserve"> от 29.12.2012 N 273-ФЗ "Об образовании в Российской Федерации".</w:t>
      </w:r>
    </w:p>
    <w:bookmarkEnd w:id="10"/>
    <w:p w:rsidR="002C0F51" w:rsidRPr="002C0F51" w:rsidRDefault="002C0F51" w:rsidP="002C0F51">
      <w:pPr>
        <w:jc w:val="both"/>
        <w:rPr>
          <w:rFonts w:ascii="Times New Roman" w:hAnsi="Times New Roman" w:cs="Times New Roman"/>
          <w:sz w:val="28"/>
          <w:szCs w:val="28"/>
        </w:rPr>
      </w:pPr>
      <w:r w:rsidRPr="002C0F51">
        <w:rPr>
          <w:rFonts w:ascii="Times New Roman" w:hAnsi="Times New Roman" w:cs="Times New Roman"/>
          <w:sz w:val="28"/>
          <w:szCs w:val="28"/>
        </w:rPr>
        <w:t>Организационно-техническое и научно-методическое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w:t>
      </w:r>
    </w:p>
    <w:p w:rsidR="002C0F51" w:rsidRPr="002C0F51" w:rsidRDefault="002C0F51" w:rsidP="002C0F51">
      <w:pPr>
        <w:ind w:firstLine="708"/>
        <w:jc w:val="both"/>
        <w:rPr>
          <w:rFonts w:ascii="Times New Roman" w:hAnsi="Times New Roman" w:cs="Times New Roman"/>
          <w:sz w:val="28"/>
          <w:szCs w:val="28"/>
        </w:rPr>
      </w:pPr>
      <w:bookmarkStart w:id="11" w:name="sub_106"/>
      <w:r w:rsidRPr="002C0F51">
        <w:rPr>
          <w:rFonts w:ascii="Times New Roman" w:hAnsi="Times New Roman" w:cs="Times New Roman"/>
          <w:sz w:val="28"/>
          <w:szCs w:val="28"/>
        </w:rPr>
        <w:t>6. Мониторинг осуществляется на основе данных федерального статистического наблюдения,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(далее по тексту - сеть "Интернет"), информации, опубликованной в средствах массовой информации, а также информации, поступившей в Отдел образования от организаций и граждан, согласно показателям мониторинга системы образования Высокогорского муниципального района.</w:t>
      </w:r>
    </w:p>
    <w:p w:rsidR="002C0F51" w:rsidRPr="002C0F51" w:rsidRDefault="002C0F51" w:rsidP="002C0F51">
      <w:pPr>
        <w:ind w:firstLine="708"/>
        <w:jc w:val="both"/>
        <w:rPr>
          <w:rFonts w:ascii="Times New Roman" w:hAnsi="Times New Roman" w:cs="Times New Roman"/>
          <w:sz w:val="28"/>
          <w:szCs w:val="28"/>
        </w:rPr>
      </w:pPr>
      <w:bookmarkStart w:id="12" w:name="sub_107"/>
      <w:bookmarkEnd w:id="11"/>
      <w:r w:rsidRPr="002C0F51">
        <w:rPr>
          <w:rFonts w:ascii="Times New Roman" w:hAnsi="Times New Roman" w:cs="Times New Roman"/>
          <w:sz w:val="28"/>
          <w:szCs w:val="28"/>
        </w:rPr>
        <w:lastRenderedPageBreak/>
        <w:t>7. Мониторинг проводится Отделом образования в срок до 20 декабря отчетного года.</w:t>
      </w:r>
    </w:p>
    <w:p w:rsidR="002C0F51" w:rsidRPr="002C0F51" w:rsidRDefault="002C0F51" w:rsidP="002C0F51">
      <w:pPr>
        <w:ind w:firstLine="708"/>
        <w:jc w:val="both"/>
        <w:rPr>
          <w:rFonts w:ascii="Times New Roman" w:hAnsi="Times New Roman" w:cs="Times New Roman"/>
          <w:sz w:val="28"/>
          <w:szCs w:val="28"/>
        </w:rPr>
      </w:pPr>
      <w:bookmarkStart w:id="13" w:name="sub_108"/>
      <w:bookmarkEnd w:id="12"/>
      <w:r w:rsidRPr="002C0F51">
        <w:rPr>
          <w:rFonts w:ascii="Times New Roman" w:hAnsi="Times New Roman" w:cs="Times New Roman"/>
          <w:sz w:val="28"/>
          <w:szCs w:val="28"/>
        </w:rPr>
        <w:t>8. Результаты проведенного анализа состояния и перспектив развития системы образования ежегодно публикуются на официальном сайте Высокогорского муниципального района в информационно-телекоммуникационной сети Интернет по адресу:</w:t>
      </w:r>
      <w:r w:rsidRPr="002C0F51">
        <w:t xml:space="preserve"> </w:t>
      </w:r>
      <w:hyperlink r:id="rId16" w:history="1">
        <w:r w:rsidRPr="00E25A42">
          <w:rPr>
            <w:rStyle w:val="a3"/>
            <w:rFonts w:ascii="Times New Roman" w:hAnsi="Times New Roman"/>
            <w:color w:val="auto"/>
            <w:sz w:val="28"/>
            <w:szCs w:val="28"/>
            <w:u w:val="none"/>
          </w:rPr>
          <w:t>https://edu.tatar.ru/v_gora/vgora</w:t>
        </w:r>
      </w:hyperlink>
      <w:r w:rsidRPr="002C0F51">
        <w:rPr>
          <w:rFonts w:ascii="Times New Roman" w:hAnsi="Times New Roman" w:cs="Times New Roman"/>
          <w:sz w:val="28"/>
          <w:szCs w:val="28"/>
        </w:rPr>
        <w:t xml:space="preserve"> до 20 январе года, следующего за отчетным.</w:t>
      </w:r>
    </w:p>
    <w:p w:rsidR="002C0F51" w:rsidRPr="002C0F51" w:rsidRDefault="002C0F51" w:rsidP="002C0F51">
      <w:pPr>
        <w:ind w:firstLine="708"/>
        <w:jc w:val="both"/>
        <w:rPr>
          <w:rFonts w:ascii="Times New Roman" w:hAnsi="Times New Roman" w:cs="Times New Roman"/>
          <w:sz w:val="28"/>
          <w:szCs w:val="28"/>
        </w:rPr>
      </w:pPr>
      <w:bookmarkStart w:id="14" w:name="sub_109"/>
      <w:bookmarkEnd w:id="13"/>
      <w:r w:rsidRPr="002C0F51">
        <w:rPr>
          <w:rFonts w:ascii="Times New Roman" w:hAnsi="Times New Roman" w:cs="Times New Roman"/>
          <w:sz w:val="28"/>
          <w:szCs w:val="28"/>
        </w:rPr>
        <w:t>9. Отдел образования ежегодно в сроки, установленные Министерством образования и науки Республики Татарстан, представляют в вышеуказанный орган итоговые отчеты.</w:t>
      </w:r>
    </w:p>
    <w:bookmarkEnd w:id="14"/>
    <w:p w:rsidR="002C0F51" w:rsidRPr="002C0F51" w:rsidRDefault="002C0F51" w:rsidP="002C0F51">
      <w:pPr>
        <w:jc w:val="both"/>
        <w:rPr>
          <w:rFonts w:ascii="Times New Roman" w:hAnsi="Times New Roman" w:cs="Times New Roman"/>
          <w:sz w:val="28"/>
          <w:szCs w:val="28"/>
        </w:rPr>
      </w:pPr>
    </w:p>
    <w:p w:rsidR="002C0F51" w:rsidRPr="002C0F51" w:rsidRDefault="002C0F51" w:rsidP="002C0F51">
      <w:pPr>
        <w:jc w:val="both"/>
        <w:rPr>
          <w:rFonts w:ascii="Times New Roman" w:hAnsi="Times New Roman" w:cs="Times New Roman"/>
          <w:sz w:val="28"/>
          <w:szCs w:val="28"/>
        </w:rPr>
      </w:pPr>
    </w:p>
    <w:p w:rsidR="002C0F51" w:rsidRPr="002C0F51" w:rsidRDefault="002C0F51" w:rsidP="002C0F51">
      <w:pPr>
        <w:jc w:val="both"/>
        <w:rPr>
          <w:rFonts w:ascii="Times New Roman" w:hAnsi="Times New Roman" w:cs="Times New Roman"/>
          <w:sz w:val="28"/>
          <w:szCs w:val="28"/>
        </w:rPr>
      </w:pPr>
    </w:p>
    <w:p w:rsidR="002C0F51" w:rsidRPr="002C0F51" w:rsidRDefault="002C0F51" w:rsidP="002C0F51">
      <w:pPr>
        <w:jc w:val="both"/>
        <w:rPr>
          <w:rFonts w:ascii="Times New Roman" w:hAnsi="Times New Roman" w:cs="Times New Roman"/>
          <w:sz w:val="28"/>
          <w:szCs w:val="28"/>
        </w:rPr>
      </w:pPr>
    </w:p>
    <w:p w:rsidR="002C0F51" w:rsidRPr="002C0F51" w:rsidRDefault="002C0F51" w:rsidP="002C0F51">
      <w:pPr>
        <w:jc w:val="both"/>
        <w:rPr>
          <w:rFonts w:ascii="Times New Roman" w:hAnsi="Times New Roman" w:cs="Times New Roman"/>
          <w:sz w:val="28"/>
          <w:szCs w:val="28"/>
        </w:rPr>
      </w:pPr>
    </w:p>
    <w:p w:rsidR="002C0F51" w:rsidRPr="002C0F51" w:rsidRDefault="002C0F51" w:rsidP="002C0F51">
      <w:pPr>
        <w:jc w:val="both"/>
        <w:rPr>
          <w:rFonts w:ascii="Times New Roman" w:hAnsi="Times New Roman" w:cs="Times New Roman"/>
          <w:sz w:val="28"/>
          <w:szCs w:val="28"/>
        </w:rPr>
      </w:pPr>
    </w:p>
    <w:p w:rsidR="002C0F51" w:rsidRPr="002C0F51" w:rsidRDefault="002C0F51" w:rsidP="002C0F51">
      <w:pPr>
        <w:jc w:val="both"/>
        <w:rPr>
          <w:rFonts w:ascii="Times New Roman" w:hAnsi="Times New Roman" w:cs="Times New Roman"/>
          <w:sz w:val="28"/>
          <w:szCs w:val="28"/>
        </w:rPr>
      </w:pPr>
    </w:p>
    <w:p w:rsidR="002C0F51" w:rsidRPr="002C0F51" w:rsidRDefault="002C0F51" w:rsidP="002C0F51">
      <w:pPr>
        <w:jc w:val="both"/>
        <w:rPr>
          <w:rFonts w:ascii="Times New Roman" w:hAnsi="Times New Roman" w:cs="Times New Roman"/>
          <w:sz w:val="28"/>
          <w:szCs w:val="28"/>
        </w:rPr>
      </w:pPr>
    </w:p>
    <w:p w:rsidR="002C0F51" w:rsidRPr="002C0F51" w:rsidRDefault="002C0F51" w:rsidP="002C0F51">
      <w:pPr>
        <w:jc w:val="both"/>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Default="002C0F51" w:rsidP="002C0F51">
      <w:pPr>
        <w:rPr>
          <w:rFonts w:ascii="Times New Roman" w:hAnsi="Times New Roman" w:cs="Times New Roman"/>
          <w:sz w:val="28"/>
          <w:szCs w:val="28"/>
        </w:rPr>
      </w:pPr>
    </w:p>
    <w:p w:rsidR="00304919" w:rsidRDefault="00304919" w:rsidP="002C0F51">
      <w:pPr>
        <w:rPr>
          <w:rFonts w:ascii="Times New Roman" w:hAnsi="Times New Roman" w:cs="Times New Roman"/>
          <w:sz w:val="28"/>
          <w:szCs w:val="28"/>
        </w:rPr>
      </w:pPr>
    </w:p>
    <w:p w:rsidR="00E25A42" w:rsidRPr="002C0F51" w:rsidRDefault="00E25A42" w:rsidP="002C0F51">
      <w:pPr>
        <w:rPr>
          <w:rFonts w:ascii="Times New Roman" w:hAnsi="Times New Roman" w:cs="Times New Roman"/>
          <w:sz w:val="28"/>
          <w:szCs w:val="28"/>
        </w:rPr>
      </w:pPr>
    </w:p>
    <w:p w:rsidR="00E25A42" w:rsidRDefault="00E25A42" w:rsidP="002C0F51">
      <w:pPr>
        <w:pStyle w:val="aa"/>
        <w:ind w:left="5245"/>
        <w:jc w:val="right"/>
        <w:rPr>
          <w:rFonts w:ascii="Times New Roman" w:hAnsi="Times New Roman" w:cs="Times New Roman"/>
          <w:sz w:val="28"/>
          <w:szCs w:val="28"/>
        </w:rPr>
      </w:pPr>
    </w:p>
    <w:p w:rsidR="002C0F51" w:rsidRPr="00E25A42" w:rsidRDefault="00E25A42" w:rsidP="002C0F51">
      <w:pPr>
        <w:pStyle w:val="aa"/>
        <w:ind w:left="5245"/>
        <w:jc w:val="right"/>
        <w:rPr>
          <w:rFonts w:ascii="Times New Roman" w:hAnsi="Times New Roman" w:cs="Times New Roman"/>
          <w:sz w:val="24"/>
          <w:szCs w:val="24"/>
        </w:rPr>
      </w:pPr>
      <w:r w:rsidRPr="00E25A42">
        <w:rPr>
          <w:rFonts w:ascii="Times New Roman" w:hAnsi="Times New Roman" w:cs="Times New Roman"/>
          <w:sz w:val="24"/>
          <w:szCs w:val="24"/>
        </w:rPr>
        <w:lastRenderedPageBreak/>
        <w:t>Приложение №</w:t>
      </w:r>
      <w:r w:rsidR="002C0F51" w:rsidRPr="00E25A42">
        <w:rPr>
          <w:rFonts w:ascii="Times New Roman" w:hAnsi="Times New Roman" w:cs="Times New Roman"/>
          <w:sz w:val="24"/>
          <w:szCs w:val="24"/>
        </w:rPr>
        <w:t xml:space="preserve"> 2</w:t>
      </w:r>
    </w:p>
    <w:p w:rsidR="002C0F51" w:rsidRPr="00E25A42" w:rsidRDefault="002C0F51" w:rsidP="00E25A42">
      <w:pPr>
        <w:pStyle w:val="aa"/>
        <w:ind w:left="6372"/>
        <w:rPr>
          <w:rFonts w:ascii="Times New Roman" w:hAnsi="Times New Roman" w:cs="Times New Roman"/>
          <w:sz w:val="24"/>
          <w:szCs w:val="24"/>
        </w:rPr>
      </w:pPr>
      <w:r w:rsidRPr="00E25A42">
        <w:rPr>
          <w:rFonts w:ascii="Times New Roman" w:hAnsi="Times New Roman" w:cs="Times New Roman"/>
          <w:sz w:val="24"/>
          <w:szCs w:val="24"/>
        </w:rPr>
        <w:t xml:space="preserve">             «Утвержден</w:t>
      </w:r>
      <w:r w:rsidR="00E25A42" w:rsidRPr="00E25A42">
        <w:rPr>
          <w:rFonts w:ascii="Times New Roman" w:hAnsi="Times New Roman" w:cs="Times New Roman"/>
          <w:sz w:val="24"/>
          <w:szCs w:val="24"/>
        </w:rPr>
        <w:t>о</w:t>
      </w:r>
      <w:r w:rsidRPr="00E25A42">
        <w:rPr>
          <w:rFonts w:ascii="Times New Roman" w:hAnsi="Times New Roman" w:cs="Times New Roman"/>
          <w:sz w:val="24"/>
          <w:szCs w:val="24"/>
        </w:rPr>
        <w:t>»</w:t>
      </w:r>
    </w:p>
    <w:p w:rsidR="002C0F51" w:rsidRPr="00E25A42" w:rsidRDefault="002C0F51" w:rsidP="00E25A42">
      <w:pPr>
        <w:pStyle w:val="aa"/>
        <w:ind w:left="6372"/>
        <w:rPr>
          <w:rFonts w:ascii="Times New Roman" w:hAnsi="Times New Roman" w:cs="Times New Roman"/>
          <w:sz w:val="24"/>
          <w:szCs w:val="24"/>
        </w:rPr>
      </w:pPr>
      <w:r w:rsidRPr="00E25A42">
        <w:rPr>
          <w:rFonts w:ascii="Times New Roman" w:hAnsi="Times New Roman" w:cs="Times New Roman"/>
          <w:sz w:val="24"/>
          <w:szCs w:val="24"/>
        </w:rPr>
        <w:t xml:space="preserve">Постановлением исполнительного комитета Высокогорского муниципального </w:t>
      </w:r>
      <w:r w:rsidR="00E25A42" w:rsidRPr="00E25A42">
        <w:rPr>
          <w:rFonts w:ascii="Times New Roman" w:hAnsi="Times New Roman" w:cs="Times New Roman"/>
          <w:sz w:val="24"/>
          <w:szCs w:val="24"/>
        </w:rPr>
        <w:t>района РТ</w:t>
      </w:r>
    </w:p>
    <w:p w:rsidR="002C0F51" w:rsidRPr="00E25A42" w:rsidRDefault="002C0F51" w:rsidP="00E25A42">
      <w:pPr>
        <w:pStyle w:val="aa"/>
        <w:ind w:left="6372"/>
        <w:rPr>
          <w:rFonts w:ascii="Times New Roman" w:hAnsi="Times New Roman" w:cs="Times New Roman"/>
          <w:sz w:val="24"/>
          <w:szCs w:val="24"/>
        </w:rPr>
      </w:pPr>
      <w:r w:rsidRPr="00E25A42">
        <w:rPr>
          <w:rFonts w:ascii="Times New Roman" w:hAnsi="Times New Roman" w:cs="Times New Roman"/>
          <w:sz w:val="24"/>
          <w:szCs w:val="24"/>
        </w:rPr>
        <w:t>от «___</w:t>
      </w:r>
      <w:r w:rsidR="00E25A42" w:rsidRPr="00E25A42">
        <w:rPr>
          <w:rFonts w:ascii="Times New Roman" w:hAnsi="Times New Roman" w:cs="Times New Roman"/>
          <w:sz w:val="24"/>
          <w:szCs w:val="24"/>
        </w:rPr>
        <w:t>_» _</w:t>
      </w:r>
      <w:r w:rsidRPr="00E25A42">
        <w:rPr>
          <w:rFonts w:ascii="Times New Roman" w:hAnsi="Times New Roman" w:cs="Times New Roman"/>
          <w:sz w:val="24"/>
          <w:szCs w:val="24"/>
        </w:rPr>
        <w:t>______201</w:t>
      </w:r>
      <w:r w:rsidR="00E25A42" w:rsidRPr="00E25A42">
        <w:rPr>
          <w:rFonts w:ascii="Times New Roman" w:hAnsi="Times New Roman" w:cs="Times New Roman"/>
          <w:sz w:val="24"/>
          <w:szCs w:val="24"/>
        </w:rPr>
        <w:t>9</w:t>
      </w:r>
      <w:r w:rsidRPr="00E25A42">
        <w:rPr>
          <w:rFonts w:ascii="Times New Roman" w:hAnsi="Times New Roman" w:cs="Times New Roman"/>
          <w:sz w:val="24"/>
          <w:szCs w:val="24"/>
        </w:rPr>
        <w:t xml:space="preserve">   №______</w:t>
      </w:r>
    </w:p>
    <w:p w:rsidR="002C0F51" w:rsidRPr="002C0F51" w:rsidRDefault="002C0F51" w:rsidP="002C0F51">
      <w:pPr>
        <w:rPr>
          <w:rFonts w:ascii="Times New Roman" w:hAnsi="Times New Roman" w:cs="Times New Roman"/>
          <w:sz w:val="28"/>
          <w:szCs w:val="28"/>
        </w:rPr>
      </w:pPr>
    </w:p>
    <w:p w:rsidR="002C0F51" w:rsidRPr="002C0F51" w:rsidRDefault="002C0F51" w:rsidP="002C0F51">
      <w:pPr>
        <w:rPr>
          <w:rFonts w:ascii="Times New Roman" w:hAnsi="Times New Roman" w:cs="Times New Roman"/>
          <w:sz w:val="28"/>
          <w:szCs w:val="28"/>
        </w:rPr>
      </w:pPr>
    </w:p>
    <w:p w:rsidR="002C0F51" w:rsidRPr="002C0F51" w:rsidRDefault="002C0F51" w:rsidP="002C0F51">
      <w:pPr>
        <w:pStyle w:val="1"/>
        <w:spacing w:before="0" w:after="0"/>
        <w:rPr>
          <w:rFonts w:ascii="Times New Roman" w:hAnsi="Times New Roman" w:cs="Times New Roman"/>
          <w:b w:val="0"/>
          <w:color w:val="auto"/>
          <w:sz w:val="28"/>
          <w:szCs w:val="28"/>
        </w:rPr>
      </w:pPr>
      <w:bookmarkStart w:id="15" w:name="sub_200"/>
      <w:r w:rsidRPr="002C0F51">
        <w:rPr>
          <w:rFonts w:ascii="Times New Roman" w:hAnsi="Times New Roman" w:cs="Times New Roman"/>
          <w:b w:val="0"/>
          <w:color w:val="auto"/>
          <w:sz w:val="28"/>
          <w:szCs w:val="28"/>
        </w:rPr>
        <w:t>Показатели</w:t>
      </w:r>
      <w:r w:rsidRPr="002C0F51">
        <w:rPr>
          <w:rFonts w:ascii="Times New Roman" w:hAnsi="Times New Roman" w:cs="Times New Roman"/>
          <w:b w:val="0"/>
          <w:color w:val="auto"/>
          <w:sz w:val="28"/>
          <w:szCs w:val="28"/>
        </w:rPr>
        <w:br/>
        <w:t>мониторинга системы образования Высокогорского муниципального района Республики Татарстан</w:t>
      </w:r>
      <w:r w:rsidRPr="002C0F51">
        <w:rPr>
          <w:rFonts w:ascii="Times New Roman" w:hAnsi="Times New Roman" w:cs="Times New Roman"/>
          <w:b w:val="0"/>
          <w:color w:val="auto"/>
          <w:sz w:val="28"/>
          <w:szCs w:val="28"/>
        </w:rPr>
        <w:br/>
      </w:r>
      <w:r w:rsidR="00E25A42">
        <w:rPr>
          <w:rFonts w:ascii="Times New Roman" w:hAnsi="Times New Roman" w:cs="Times New Roman"/>
          <w:b w:val="0"/>
          <w:color w:val="auto"/>
          <w:sz w:val="28"/>
          <w:szCs w:val="28"/>
        </w:rPr>
        <w:t xml:space="preserve">  </w:t>
      </w:r>
    </w:p>
    <w:bookmarkEnd w:id="15"/>
    <w:p w:rsidR="002C0F51" w:rsidRPr="002C0F51" w:rsidRDefault="002C0F51" w:rsidP="002C0F51">
      <w:pPr>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6"/>
        <w:gridCol w:w="1701"/>
      </w:tblGrid>
      <w:tr w:rsidR="002C0F51" w:rsidRPr="002C0F51" w:rsidTr="00E25A42">
        <w:tc>
          <w:tcPr>
            <w:tcW w:w="8426" w:type="dxa"/>
          </w:tcPr>
          <w:p w:rsidR="002C0F51" w:rsidRPr="002C0F51" w:rsidRDefault="002C0F51" w:rsidP="00F40DBF">
            <w:pPr>
              <w:pStyle w:val="ConsPlusNormal"/>
              <w:jc w:val="center"/>
              <w:rPr>
                <w:sz w:val="26"/>
                <w:szCs w:val="26"/>
              </w:rPr>
            </w:pPr>
            <w:r w:rsidRPr="002C0F51">
              <w:rPr>
                <w:sz w:val="26"/>
                <w:szCs w:val="26"/>
              </w:rPr>
              <w:t>Раздел/подраздел/показатель</w:t>
            </w:r>
          </w:p>
        </w:tc>
        <w:tc>
          <w:tcPr>
            <w:tcW w:w="1701" w:type="dxa"/>
          </w:tcPr>
          <w:p w:rsidR="002C0F51" w:rsidRPr="002C0F51" w:rsidRDefault="002C0F51" w:rsidP="00F40DBF">
            <w:pPr>
              <w:pStyle w:val="ConsPlusNormal"/>
              <w:jc w:val="center"/>
              <w:rPr>
                <w:sz w:val="26"/>
                <w:szCs w:val="26"/>
              </w:rPr>
            </w:pPr>
            <w:r w:rsidRPr="002C0F51">
              <w:rPr>
                <w:sz w:val="26"/>
                <w:szCs w:val="26"/>
              </w:rPr>
              <w:t>Единица измерения/форма оценки</w:t>
            </w:r>
          </w:p>
        </w:tc>
      </w:tr>
      <w:tr w:rsidR="002C0F51" w:rsidRPr="002C0F51" w:rsidTr="00E25A42">
        <w:tc>
          <w:tcPr>
            <w:tcW w:w="8426" w:type="dxa"/>
          </w:tcPr>
          <w:p w:rsidR="002C0F51" w:rsidRPr="002C0F51" w:rsidRDefault="002C0F51" w:rsidP="00F40DBF">
            <w:pPr>
              <w:pStyle w:val="ConsPlusNormal"/>
              <w:jc w:val="center"/>
              <w:outlineLvl w:val="1"/>
              <w:rPr>
                <w:sz w:val="26"/>
                <w:szCs w:val="26"/>
              </w:rPr>
            </w:pPr>
            <w:r w:rsidRPr="002C0F51">
              <w:rPr>
                <w:sz w:val="26"/>
                <w:szCs w:val="26"/>
              </w:rPr>
              <w:t>I. Общее образование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center"/>
              <w:outlineLvl w:val="2"/>
              <w:rPr>
                <w:sz w:val="26"/>
                <w:szCs w:val="26"/>
              </w:rPr>
            </w:pPr>
            <w:r w:rsidRPr="002C0F51">
              <w:rPr>
                <w:sz w:val="26"/>
                <w:szCs w:val="26"/>
              </w:rPr>
              <w:t>1. Сведения о развитии дошкольного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1.1. Уровень доступности дошкольного образования и численность населения, получающего дошкольное образование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всего (в возрасте от 2 месяцев до 7 лет);</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 возрасте от 2 месяцев до 3 лет;</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 возрасте от 3 до 7 лет.</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всего (в возрасте от 2 месяцев до 7 лет);</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 возрасте от 2 месяцев до 3 лет;</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 возрасте от 3 до 7 лет.</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группы компенсирующей направленности;</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группы общеразвивающей направленности;</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группы оздоровительной направленности;</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группы комбинированной направленности;</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семейные дошкольные группы.</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 режиме кратковременного пребывания;</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 режиме круглосуточного пребывания.</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группы компенсирующей направленности;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группы общеразвивающей направленности;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группы оздоровительной направленности;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группы комбинированной направленности;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группы по присмотру и уходу за детьми.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1.3. Кадровое обеспечение дошкольных образовательных организаций и оценка уровня заработной платы педагогических работников</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1.3.1. Численность детей, посещающих организации, осуществляющие </w:t>
            </w:r>
            <w:r w:rsidRPr="002C0F51">
              <w:rPr>
                <w:sz w:val="26"/>
                <w:szCs w:val="26"/>
              </w:rPr>
              <w:lastRenderedPageBreak/>
              <w:t>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1701" w:type="dxa"/>
          </w:tcPr>
          <w:p w:rsidR="002C0F51" w:rsidRPr="002C0F51" w:rsidRDefault="002C0F51" w:rsidP="00F40DBF">
            <w:pPr>
              <w:pStyle w:val="ConsPlusNormal"/>
              <w:rPr>
                <w:sz w:val="26"/>
                <w:szCs w:val="26"/>
              </w:rPr>
            </w:pPr>
            <w:r w:rsidRPr="002C0F51">
              <w:rPr>
                <w:sz w:val="26"/>
                <w:szCs w:val="26"/>
              </w:rPr>
              <w:lastRenderedPageBreak/>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воспитатели;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старшие воспитатели;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музыкальные руководители;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инструкторы по физической культуре;</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учителя-логопеды;</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учителя-дефектологи;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педагоги-психологи;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социальные педагоги;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педагоги-организаторы;</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педагоги дополнительного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1.4. Материально-техническое и информационное обеспечение дошкольных образовательных организаций</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1.4.1. Площадь помещений, используемых непосредственно для нужд дошкольных образовательных организаций, в расчете на 1 ребенка.</w:t>
            </w:r>
          </w:p>
        </w:tc>
        <w:tc>
          <w:tcPr>
            <w:tcW w:w="1701" w:type="dxa"/>
          </w:tcPr>
          <w:p w:rsidR="002C0F51" w:rsidRPr="002C0F51" w:rsidRDefault="002C0F51" w:rsidP="00F40DBF">
            <w:pPr>
              <w:pStyle w:val="ConsPlusNormal"/>
              <w:rPr>
                <w:sz w:val="26"/>
                <w:szCs w:val="26"/>
              </w:rPr>
            </w:pPr>
            <w:r w:rsidRPr="002C0F51">
              <w:rPr>
                <w:sz w:val="26"/>
                <w:szCs w:val="26"/>
              </w:rPr>
              <w:t>квадратный метр</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1.4.3. Удельный вес числа организаций, имеющих физкультурные залы, в общем числе дошкольных образовательных организаций.</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701" w:type="dxa"/>
          </w:tcPr>
          <w:p w:rsidR="002C0F51" w:rsidRPr="002C0F51" w:rsidRDefault="002C0F51" w:rsidP="00F40DBF">
            <w:pPr>
              <w:pStyle w:val="ConsPlusNormal"/>
              <w:rPr>
                <w:sz w:val="26"/>
                <w:szCs w:val="26"/>
              </w:rPr>
            </w:pPr>
            <w:r w:rsidRPr="002C0F51">
              <w:rPr>
                <w:sz w:val="26"/>
                <w:szCs w:val="26"/>
              </w:rPr>
              <w:t>единица</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1.5. Условия получения дошкольного образования лицами с ограниченными возможностями здоровья и инвалидами</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компенсирующей направленности, в том числе для воспитанников:</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нарушениями слуха;</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нарушениями речи;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нарушениями зрения;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умственной отсталостью (интеллектуальными нарушениями);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задержкой психического развития;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нарушениями опорно-двигательного аппарата;</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со сложными дефектами (множественными нарушениями);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другими ограниченными возможностями здоровья.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оздоровительной направленности;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комбинированной направленности.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компенсирующей направленности, в том числе для воспитанников:</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нарушениями слуха;</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нарушениями речи;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нарушениями зрения;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с умственной отсталостью (интеллектуальными нарушениями);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задержкой психического развития;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нарушениями опорно-двигательного аппарата;</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со сложными дефектами (множественными нарушениями);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другими ограниченными возможностями здоровья;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оздоровительной направленности;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комбинированной направленности.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1.6. Состояние здоровья лиц, обучающихся по программам дошкольного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дошкольные образовательные организации;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обособленные подразделения (филиалы) дошкольных образовательных организаций;</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обособленные подразделения (филиалы) общеобразовательных организаций;</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1.8. Финансово-экономическая деятельность дошкольных образовательных организаций</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1701" w:type="dxa"/>
          </w:tcPr>
          <w:p w:rsidR="002C0F51" w:rsidRPr="002C0F51" w:rsidRDefault="002C0F51" w:rsidP="00F40DBF">
            <w:pPr>
              <w:pStyle w:val="ConsPlusNormal"/>
              <w:rPr>
                <w:sz w:val="26"/>
                <w:szCs w:val="26"/>
              </w:rPr>
            </w:pPr>
            <w:r w:rsidRPr="002C0F51">
              <w:rPr>
                <w:sz w:val="26"/>
                <w:szCs w:val="26"/>
              </w:rPr>
              <w:t>тысяча рублей</w:t>
            </w:r>
          </w:p>
        </w:tc>
      </w:tr>
      <w:tr w:rsidR="002C0F51" w:rsidRPr="002C0F51" w:rsidTr="00E25A42">
        <w:tc>
          <w:tcPr>
            <w:tcW w:w="8426" w:type="dxa"/>
          </w:tcPr>
          <w:p w:rsidR="002C0F51" w:rsidRPr="002C0F51" w:rsidRDefault="002C0F51" w:rsidP="00F40DBF">
            <w:pPr>
              <w:pStyle w:val="ConsPlusNormal"/>
              <w:rPr>
                <w:sz w:val="26"/>
                <w:szCs w:val="26"/>
              </w:rPr>
            </w:pPr>
            <w:r w:rsidRPr="002C0F51">
              <w:rPr>
                <w:sz w:val="26"/>
                <w:szCs w:val="26"/>
              </w:rPr>
              <w:t>1.9. Создание безопасных условий при организации образовательного процесса в дошкольных образовательных организациях</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center"/>
              <w:outlineLvl w:val="2"/>
              <w:rPr>
                <w:sz w:val="26"/>
                <w:szCs w:val="26"/>
              </w:rPr>
            </w:pPr>
            <w:r w:rsidRPr="002C0F51">
              <w:rPr>
                <w:sz w:val="26"/>
                <w:szCs w:val="26"/>
              </w:rPr>
              <w:t>2. Сведения о развитии начального общего образования, основного общего образования и среднего общего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2.1.4. Наполняемость классов по уровням общего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начальное общее образование (1 - 4 классы);</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основное общее образование (5 - 9 классы);</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среднее общее образование (10 - 11 (12) классы).</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2.2.3. Удельный вес численности обучающихся в классах (группах) профильного обучения в общей численности обучающихся в 10 - 11 (12) классах по образовательным программам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2.3.1. Численность обучающихся по образовательным программам начального общего, основного общего, среднего общего образования в </w:t>
            </w:r>
            <w:r w:rsidRPr="002C0F51">
              <w:rPr>
                <w:sz w:val="26"/>
                <w:szCs w:val="26"/>
              </w:rPr>
              <w:lastRenderedPageBreak/>
              <w:t>расчете на 1 педагогического работника.</w:t>
            </w:r>
          </w:p>
        </w:tc>
        <w:tc>
          <w:tcPr>
            <w:tcW w:w="1701" w:type="dxa"/>
          </w:tcPr>
          <w:p w:rsidR="002C0F51" w:rsidRPr="002C0F51" w:rsidRDefault="002C0F51" w:rsidP="00F40DBF">
            <w:pPr>
              <w:pStyle w:val="ConsPlusNormal"/>
              <w:rPr>
                <w:sz w:val="26"/>
                <w:szCs w:val="26"/>
              </w:rPr>
            </w:pPr>
            <w:r w:rsidRPr="002C0F51">
              <w:rPr>
                <w:sz w:val="26"/>
                <w:szCs w:val="26"/>
              </w:rPr>
              <w:lastRenderedPageBreak/>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педагогических работников - всего;</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из них учителей.</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социальных педагогов:</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ind w:left="283"/>
              <w:jc w:val="both"/>
              <w:rPr>
                <w:sz w:val="26"/>
                <w:szCs w:val="26"/>
              </w:rPr>
            </w:pPr>
            <w:r w:rsidRPr="002C0F51">
              <w:rPr>
                <w:sz w:val="26"/>
                <w:szCs w:val="26"/>
              </w:rPr>
              <w:t>всего;</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ind w:left="283"/>
              <w:jc w:val="both"/>
              <w:rPr>
                <w:sz w:val="26"/>
                <w:szCs w:val="26"/>
              </w:rPr>
            </w:pPr>
            <w:r w:rsidRPr="002C0F51">
              <w:rPr>
                <w:sz w:val="26"/>
                <w:szCs w:val="26"/>
              </w:rPr>
              <w:t>из них в штате;</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педагогов-психологов:</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ind w:left="283"/>
              <w:jc w:val="both"/>
              <w:rPr>
                <w:sz w:val="26"/>
                <w:szCs w:val="26"/>
              </w:rPr>
            </w:pPr>
            <w:r w:rsidRPr="002C0F51">
              <w:rPr>
                <w:sz w:val="26"/>
                <w:szCs w:val="26"/>
              </w:rPr>
              <w:t>всего;</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ind w:left="283"/>
              <w:jc w:val="both"/>
              <w:rPr>
                <w:sz w:val="26"/>
                <w:szCs w:val="26"/>
              </w:rPr>
            </w:pPr>
            <w:r w:rsidRPr="002C0F51">
              <w:rPr>
                <w:sz w:val="26"/>
                <w:szCs w:val="26"/>
              </w:rPr>
              <w:t>из них в штате;</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учителей-логопедов:</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ind w:left="283"/>
              <w:jc w:val="both"/>
              <w:rPr>
                <w:sz w:val="26"/>
                <w:szCs w:val="26"/>
              </w:rPr>
            </w:pPr>
            <w:r w:rsidRPr="002C0F51">
              <w:rPr>
                <w:sz w:val="26"/>
                <w:szCs w:val="26"/>
              </w:rPr>
              <w:t>всего;</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ind w:left="283"/>
              <w:jc w:val="both"/>
              <w:rPr>
                <w:sz w:val="26"/>
                <w:szCs w:val="26"/>
              </w:rPr>
            </w:pPr>
            <w:r w:rsidRPr="002C0F51">
              <w:rPr>
                <w:sz w:val="26"/>
                <w:szCs w:val="26"/>
              </w:rPr>
              <w:t>из них в штате.</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2.4. Материально-техническое и информационное обеспечение </w:t>
            </w:r>
            <w:r w:rsidRPr="002C0F51">
              <w:rPr>
                <w:sz w:val="26"/>
                <w:szCs w:val="26"/>
              </w:rPr>
              <w:lastRenderedPageBreak/>
              <w:t>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701" w:type="dxa"/>
          </w:tcPr>
          <w:p w:rsidR="002C0F51" w:rsidRPr="002C0F51" w:rsidRDefault="002C0F51" w:rsidP="00F40DBF">
            <w:pPr>
              <w:pStyle w:val="ConsPlusNormal"/>
              <w:rPr>
                <w:sz w:val="26"/>
                <w:szCs w:val="26"/>
              </w:rPr>
            </w:pPr>
            <w:r w:rsidRPr="002C0F51">
              <w:rPr>
                <w:sz w:val="26"/>
                <w:szCs w:val="26"/>
              </w:rPr>
              <w:t>квадратный метр</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всего;</w:t>
            </w:r>
          </w:p>
        </w:tc>
        <w:tc>
          <w:tcPr>
            <w:tcW w:w="1701" w:type="dxa"/>
          </w:tcPr>
          <w:p w:rsidR="002C0F51" w:rsidRPr="002C0F51" w:rsidRDefault="002C0F51" w:rsidP="00F40DBF">
            <w:pPr>
              <w:pStyle w:val="ConsPlusNormal"/>
              <w:rPr>
                <w:sz w:val="26"/>
                <w:szCs w:val="26"/>
              </w:rPr>
            </w:pPr>
            <w:r w:rsidRPr="002C0F51">
              <w:rPr>
                <w:sz w:val="26"/>
                <w:szCs w:val="26"/>
              </w:rPr>
              <w:t>единица</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имеющих доступ к сети "Интернет".</w:t>
            </w:r>
          </w:p>
        </w:tc>
        <w:tc>
          <w:tcPr>
            <w:tcW w:w="1701" w:type="dxa"/>
          </w:tcPr>
          <w:p w:rsidR="002C0F51" w:rsidRPr="002C0F51" w:rsidRDefault="002C0F51" w:rsidP="00F40DBF">
            <w:pPr>
              <w:pStyle w:val="ConsPlusNormal"/>
              <w:rPr>
                <w:sz w:val="26"/>
                <w:szCs w:val="26"/>
              </w:rPr>
            </w:pPr>
            <w:r w:rsidRPr="002C0F51">
              <w:rPr>
                <w:sz w:val="26"/>
                <w:szCs w:val="26"/>
              </w:rPr>
              <w:t>единица</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2.5.2. Удельный вес обучающихся в отдельных организациях и классах, получающих инклюзивное образование, в общей численности лиц с </w:t>
            </w:r>
            <w:r w:rsidRPr="002C0F51">
              <w:rPr>
                <w:sz w:val="26"/>
                <w:szCs w:val="26"/>
              </w:rPr>
              <w:lastRenderedPageBreak/>
              <w:t>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lastRenderedPageBreak/>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для глухих;</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для слабослышащих и позднооглохших;</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для слепых;</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для слабовидящих;</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тяжелыми нарушениями речи;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нарушениями опорно-двигательного аппарата;</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задержкой психического развития;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расстройствами аутистического спектра;</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 умственной отсталостью (интеллектуальными нарушениями).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2.5.6. Численность обучающихся по образовательным программам начального общего, основного общего, среднего общего образования в расчете на 1 работника:</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учителя-дефектолога;</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учителя-логопеда;</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педагога-психолога;</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тьютора, ассистента (помощника).</w:t>
            </w:r>
          </w:p>
        </w:tc>
        <w:tc>
          <w:tcPr>
            <w:tcW w:w="1701" w:type="dxa"/>
          </w:tcPr>
          <w:p w:rsidR="002C0F51" w:rsidRPr="002C0F51" w:rsidRDefault="002C0F51" w:rsidP="00F40DBF">
            <w:pPr>
              <w:pStyle w:val="ConsPlusNormal"/>
              <w:rPr>
                <w:sz w:val="26"/>
                <w:szCs w:val="26"/>
              </w:rPr>
            </w:pPr>
            <w:r w:rsidRPr="002C0F51">
              <w:rPr>
                <w:sz w:val="26"/>
                <w:szCs w:val="26"/>
              </w:rPr>
              <w:t>человек</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 xml:space="preserve">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 </w:t>
            </w:r>
            <w:hyperlink w:anchor="P1629" w:history="1">
              <w:r w:rsidRPr="002C0F51">
                <w:rPr>
                  <w:color w:val="0000FF"/>
                  <w:sz w:val="26"/>
                  <w:szCs w:val="26"/>
                </w:rPr>
                <w:t>&lt;*&gt;</w:t>
              </w:r>
            </w:hyperlink>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по математике; </w:t>
            </w:r>
          </w:p>
        </w:tc>
        <w:tc>
          <w:tcPr>
            <w:tcW w:w="1701" w:type="dxa"/>
          </w:tcPr>
          <w:p w:rsidR="002C0F51" w:rsidRPr="002C0F51" w:rsidRDefault="002C0F51" w:rsidP="00F40DBF">
            <w:pPr>
              <w:pStyle w:val="ConsPlusNormal"/>
              <w:rPr>
                <w:sz w:val="26"/>
                <w:szCs w:val="26"/>
              </w:rPr>
            </w:pPr>
            <w:r w:rsidRPr="002C0F51">
              <w:rPr>
                <w:sz w:val="26"/>
                <w:szCs w:val="26"/>
              </w:rPr>
              <w:t>балл</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по русскому языку. </w:t>
            </w:r>
          </w:p>
        </w:tc>
        <w:tc>
          <w:tcPr>
            <w:tcW w:w="1701" w:type="dxa"/>
          </w:tcPr>
          <w:p w:rsidR="002C0F51" w:rsidRPr="002C0F51" w:rsidRDefault="002C0F51" w:rsidP="00F40DBF">
            <w:pPr>
              <w:pStyle w:val="ConsPlusNormal"/>
              <w:rPr>
                <w:sz w:val="26"/>
                <w:szCs w:val="26"/>
              </w:rPr>
            </w:pPr>
            <w:r w:rsidRPr="002C0F51">
              <w:rPr>
                <w:sz w:val="26"/>
                <w:szCs w:val="26"/>
              </w:rPr>
              <w:t>балл</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по математике; </w:t>
            </w:r>
          </w:p>
        </w:tc>
        <w:tc>
          <w:tcPr>
            <w:tcW w:w="1701" w:type="dxa"/>
          </w:tcPr>
          <w:p w:rsidR="002C0F51" w:rsidRPr="002C0F51" w:rsidRDefault="002C0F51" w:rsidP="00F40DBF">
            <w:pPr>
              <w:pStyle w:val="ConsPlusNormal"/>
              <w:rPr>
                <w:sz w:val="26"/>
                <w:szCs w:val="26"/>
              </w:rPr>
            </w:pPr>
            <w:r w:rsidRPr="002C0F51">
              <w:rPr>
                <w:sz w:val="26"/>
                <w:szCs w:val="26"/>
              </w:rPr>
              <w:t>балл</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по русскому языку. </w:t>
            </w:r>
          </w:p>
        </w:tc>
        <w:tc>
          <w:tcPr>
            <w:tcW w:w="1701" w:type="dxa"/>
          </w:tcPr>
          <w:p w:rsidR="002C0F51" w:rsidRPr="002C0F51" w:rsidRDefault="002C0F51" w:rsidP="00F40DBF">
            <w:pPr>
              <w:pStyle w:val="ConsPlusNormal"/>
              <w:rPr>
                <w:sz w:val="26"/>
                <w:szCs w:val="26"/>
              </w:rPr>
            </w:pPr>
            <w:r w:rsidRPr="002C0F51">
              <w:rPr>
                <w:sz w:val="26"/>
                <w:szCs w:val="26"/>
              </w:rPr>
              <w:t>балл</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2.6.4.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основного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2.7. Состояние здоровья лиц, обучающихся по основным общеобразовательным программам, </w:t>
            </w:r>
            <w:proofErr w:type="spellStart"/>
            <w:r w:rsidRPr="002C0F51">
              <w:rPr>
                <w:sz w:val="26"/>
                <w:szCs w:val="26"/>
              </w:rPr>
              <w:t>здоровьесберегающие</w:t>
            </w:r>
            <w:proofErr w:type="spellEnd"/>
            <w:r w:rsidRPr="002C0F51">
              <w:rPr>
                <w:sz w:val="26"/>
                <w:szCs w:val="26"/>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2.7.3. Удельный вес числа организаций, имеющих спортивные залы, в общем числе организаций, осуществляющих образовательную </w:t>
            </w:r>
            <w:r w:rsidRPr="002C0F51">
              <w:rPr>
                <w:sz w:val="26"/>
                <w:szCs w:val="26"/>
              </w:rPr>
              <w:lastRenderedPageBreak/>
              <w:t>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lastRenderedPageBreak/>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701" w:type="dxa"/>
          </w:tcPr>
          <w:p w:rsidR="002C0F51" w:rsidRPr="002C0F51" w:rsidRDefault="002C0F51" w:rsidP="00F40DBF">
            <w:pPr>
              <w:pStyle w:val="ConsPlusNormal"/>
              <w:rPr>
                <w:sz w:val="26"/>
                <w:szCs w:val="26"/>
              </w:rPr>
            </w:pPr>
            <w:r w:rsidRPr="002C0F51">
              <w:rPr>
                <w:sz w:val="26"/>
                <w:szCs w:val="26"/>
              </w:rPr>
              <w:t>тысяча рублей</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2.10. Создание безопасных условий при организации образовательного процесса в общеобразовательных организациях</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center"/>
              <w:outlineLvl w:val="1"/>
              <w:rPr>
                <w:sz w:val="26"/>
                <w:szCs w:val="26"/>
              </w:rPr>
            </w:pPr>
            <w:r w:rsidRPr="002C0F51">
              <w:rPr>
                <w:sz w:val="26"/>
                <w:szCs w:val="26"/>
              </w:rPr>
              <w:t>II. Дополнительное образование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center"/>
              <w:outlineLvl w:val="2"/>
              <w:rPr>
                <w:sz w:val="26"/>
                <w:szCs w:val="26"/>
              </w:rPr>
            </w:pPr>
            <w:r w:rsidRPr="002C0F51">
              <w:rPr>
                <w:sz w:val="26"/>
                <w:szCs w:val="26"/>
              </w:rPr>
              <w:t>3. Сведения о развитии дополнительного образования детей и взрослых</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3.1. Численность населения, обучающегося по дополнительным общеобразовательным программам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3.1.2. Структура численности детей, обучающихся по дополнительным общеобразовательным программам, по направлениям </w:t>
            </w:r>
            <w:hyperlink w:anchor="P1629" w:history="1">
              <w:r w:rsidRPr="002C0F51">
                <w:rPr>
                  <w:color w:val="0000FF"/>
                  <w:sz w:val="26"/>
                  <w:szCs w:val="26"/>
                </w:rPr>
                <w:t>&lt;*&gt;</w:t>
              </w:r>
            </w:hyperlink>
            <w:r w:rsidRPr="002C0F51">
              <w:rPr>
                <w:sz w:val="26"/>
                <w:szCs w:val="26"/>
              </w:rPr>
              <w:t>:</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техническое;</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естественнонаучное;</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туристско-краеведческое;</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социально-педагогическое;</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 области искусств:</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по общеразвивающим программам;</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по предпрофессиональным программам;</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 области физической культуры и спорта:</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по общеразвивающим программам;</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по предпрофессиональным программам.</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3.1.3. Удельный вес численности обучающихся (занимающихся)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3.1.4. Удельный вес численности обучающихся (занимающихся) с использованием дистанционных образовательных технологий, </w:t>
            </w:r>
            <w:r w:rsidRPr="002C0F51">
              <w:rPr>
                <w:sz w:val="26"/>
                <w:szCs w:val="26"/>
              </w:rPr>
              <w:lastRenderedPageBreak/>
              <w:t>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701" w:type="dxa"/>
          </w:tcPr>
          <w:p w:rsidR="002C0F51" w:rsidRPr="002C0F51" w:rsidRDefault="002C0F51" w:rsidP="00F40DBF">
            <w:pPr>
              <w:pStyle w:val="ConsPlusNormal"/>
              <w:rPr>
                <w:sz w:val="26"/>
                <w:szCs w:val="26"/>
              </w:rPr>
            </w:pPr>
            <w:r w:rsidRPr="002C0F51">
              <w:rPr>
                <w:sz w:val="26"/>
                <w:szCs w:val="26"/>
              </w:rPr>
              <w:lastRenderedPageBreak/>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3.1.5.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3.2. Содержание образовательной деятельности и организация образовательного процесса по дополнительным общеобразовательным программам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3.2.1. Удельный вес численности детей с ограниченными возможностями здоровья в общей численности обучающихся в организациях дополнительного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3.2.2. Удельный вес численности детей-инвалидов в общей численности обучающихся в организациях дополнительного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rPr>
                <w:sz w:val="26"/>
                <w:szCs w:val="26"/>
              </w:rPr>
            </w:pPr>
            <w:r w:rsidRPr="002C0F51">
              <w:rPr>
                <w:sz w:val="26"/>
                <w:szCs w:val="26"/>
              </w:rPr>
              <w:t>3.3.2. Удельный вес численности педагогических работников в общей численности работников организаций дополнительного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rPr>
                <w:sz w:val="26"/>
                <w:szCs w:val="26"/>
              </w:rPr>
            </w:pPr>
            <w:r w:rsidRPr="002C0F51">
              <w:rPr>
                <w:sz w:val="26"/>
                <w:szCs w:val="26"/>
              </w:rPr>
              <w:t>всего;</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rPr>
                <w:sz w:val="26"/>
                <w:szCs w:val="26"/>
              </w:rPr>
            </w:pPr>
            <w:r w:rsidRPr="002C0F51">
              <w:rPr>
                <w:sz w:val="26"/>
                <w:szCs w:val="26"/>
              </w:rPr>
              <w:t>внешние совместители.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rPr>
                <w:sz w:val="26"/>
                <w:szCs w:val="26"/>
              </w:rPr>
            </w:pPr>
            <w:r w:rsidRPr="002C0F51">
              <w:rPr>
                <w:sz w:val="26"/>
                <w:szCs w:val="26"/>
              </w:rPr>
              <w:lastRenderedPageBreak/>
              <w:t>в организациях дополнительного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3.3.4. Удельный вес численности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3.4.1. Общая площадь всех помещений организаций дополнительного образования в расчете на 1 обучающегося.</w:t>
            </w:r>
          </w:p>
        </w:tc>
        <w:tc>
          <w:tcPr>
            <w:tcW w:w="1701" w:type="dxa"/>
          </w:tcPr>
          <w:p w:rsidR="002C0F51" w:rsidRPr="002C0F51" w:rsidRDefault="002C0F51" w:rsidP="00F40DBF">
            <w:pPr>
              <w:pStyle w:val="ConsPlusNormal"/>
              <w:rPr>
                <w:sz w:val="26"/>
                <w:szCs w:val="26"/>
              </w:rPr>
            </w:pPr>
            <w:r w:rsidRPr="002C0F51">
              <w:rPr>
                <w:sz w:val="26"/>
                <w:szCs w:val="26"/>
              </w:rPr>
              <w:t>квадратный метр</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3.4.2. Удельный вес числа организаций, имеющих следующие виды благоустройства, в общем числе организаций дополнительного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водопровод;</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центральное отопление;</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канализацию;</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пожарную сигнализацию;</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дымовые извещатели;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пожарные краны и рукава;</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системы видеонаблюдения;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"тревожную кнопку".</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3.4.3. Число персональных компьютеров, используемых в учебных целях, в расчете на 100 обучающихся организаций дополнительного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всего;</w:t>
            </w:r>
          </w:p>
        </w:tc>
        <w:tc>
          <w:tcPr>
            <w:tcW w:w="1701" w:type="dxa"/>
          </w:tcPr>
          <w:p w:rsidR="002C0F51" w:rsidRPr="002C0F51" w:rsidRDefault="002C0F51" w:rsidP="00F40DBF">
            <w:pPr>
              <w:pStyle w:val="ConsPlusNormal"/>
              <w:rPr>
                <w:sz w:val="26"/>
                <w:szCs w:val="26"/>
              </w:rPr>
            </w:pPr>
            <w:r w:rsidRPr="002C0F51">
              <w:rPr>
                <w:sz w:val="26"/>
                <w:szCs w:val="26"/>
              </w:rPr>
              <w:t>единица</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имеющих доступ к сети "Интернет".</w:t>
            </w:r>
          </w:p>
        </w:tc>
        <w:tc>
          <w:tcPr>
            <w:tcW w:w="1701" w:type="dxa"/>
          </w:tcPr>
          <w:p w:rsidR="002C0F51" w:rsidRPr="002C0F51" w:rsidRDefault="002C0F51" w:rsidP="00F40DBF">
            <w:pPr>
              <w:pStyle w:val="ConsPlusNormal"/>
              <w:rPr>
                <w:sz w:val="26"/>
                <w:szCs w:val="26"/>
              </w:rPr>
            </w:pPr>
            <w:r w:rsidRPr="002C0F51">
              <w:rPr>
                <w:sz w:val="26"/>
                <w:szCs w:val="26"/>
              </w:rPr>
              <w:t>единица</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3.5.1. Темп роста числа организаций (филиалов) дополнительного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3.6. Финансово-экономическая деятельность организаций, осуществляющих образовательную деятельность в части обеспечения </w:t>
            </w:r>
            <w:r w:rsidRPr="002C0F51">
              <w:rPr>
                <w:sz w:val="26"/>
                <w:szCs w:val="26"/>
              </w:rPr>
              <w:lastRenderedPageBreak/>
              <w:t>реализации дополнительных общеобразовательных программ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3.6.1. Общий объем финансовых средств, поступивших в организации дополнительного образования, в расчете на 1 обучающегося.</w:t>
            </w:r>
          </w:p>
        </w:tc>
        <w:tc>
          <w:tcPr>
            <w:tcW w:w="1701" w:type="dxa"/>
          </w:tcPr>
          <w:p w:rsidR="002C0F51" w:rsidRPr="002C0F51" w:rsidRDefault="002C0F51" w:rsidP="00F40DBF">
            <w:pPr>
              <w:pStyle w:val="ConsPlusNormal"/>
              <w:rPr>
                <w:sz w:val="26"/>
                <w:szCs w:val="26"/>
              </w:rPr>
            </w:pPr>
            <w:r w:rsidRPr="002C0F51">
              <w:rPr>
                <w:sz w:val="26"/>
                <w:szCs w:val="26"/>
              </w:rPr>
              <w:t>тысяча рублей</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3.7.1. Удельный вес числа организаций, имеющих филиалы, в общем числе организаций дополнительного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3.9. Учебные и внеучебные достижения лиц, обучающихся по программам дополнительного образования детей</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3.9.1. Результаты занятий детей в организациях дополнительного образования (дельный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приобретение актуальных знаний, умений, практических навыков обучающимися;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выявление и развитие таланта и способностей обучающихся;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профессиональная ориентация, освоение значимых для профессиональной </w:t>
            </w:r>
            <w:r w:rsidRPr="002C0F51">
              <w:rPr>
                <w:sz w:val="26"/>
                <w:szCs w:val="26"/>
              </w:rPr>
              <w:lastRenderedPageBreak/>
              <w:t xml:space="preserve">деятельности навыков обучающимися; </w:t>
            </w:r>
          </w:p>
        </w:tc>
        <w:tc>
          <w:tcPr>
            <w:tcW w:w="1701" w:type="dxa"/>
          </w:tcPr>
          <w:p w:rsidR="002C0F51" w:rsidRPr="002C0F51" w:rsidRDefault="002C0F51" w:rsidP="00F40DBF">
            <w:pPr>
              <w:pStyle w:val="ConsPlusNormal"/>
              <w:rPr>
                <w:sz w:val="26"/>
                <w:szCs w:val="26"/>
              </w:rPr>
            </w:pPr>
            <w:r w:rsidRPr="002C0F51">
              <w:rPr>
                <w:sz w:val="26"/>
                <w:szCs w:val="26"/>
              </w:rPr>
              <w:lastRenderedPageBreak/>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 xml:space="preserve">улучшение знаний в рамках основной общеобразовательной программы обучающимися.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center"/>
              <w:outlineLvl w:val="2"/>
              <w:rPr>
                <w:sz w:val="26"/>
                <w:szCs w:val="26"/>
              </w:rPr>
            </w:pPr>
            <w:r w:rsidRPr="002C0F51">
              <w:rPr>
                <w:sz w:val="26"/>
                <w:szCs w:val="26"/>
              </w:rPr>
              <w:t>4. Развитие системы оценки качества образования и информационной прозрачности системы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4.1. Оценка деятельности системы образования гражданами</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4.1.1. Удовлетворенность населения качеством образования, которое предоставляют образовательные организации:</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дошкольные образовательные организации;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общеобразовательные организации;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организации дополнительного образования; </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профессиональные образовательные организации;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образовательные организации высшего образования.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4.1.2.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 </w:t>
            </w:r>
          </w:p>
        </w:tc>
        <w:tc>
          <w:tcPr>
            <w:tcW w:w="1701" w:type="dxa"/>
          </w:tcPr>
          <w:p w:rsidR="002C0F51" w:rsidRPr="002C0F51" w:rsidRDefault="002C0F51" w:rsidP="00F40DBF">
            <w:pPr>
              <w:pStyle w:val="ConsPlusNormal"/>
              <w:rPr>
                <w:sz w:val="26"/>
                <w:szCs w:val="26"/>
              </w:rPr>
            </w:pPr>
            <w:r w:rsidRPr="002C0F51">
              <w:rPr>
                <w:sz w:val="26"/>
                <w:szCs w:val="26"/>
              </w:rPr>
              <w:t>балл</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4.1.3. Удовлетворенность родителей (законных представителей) детей, обучающихся в организациях дополнительного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удобством территориального расположения организации;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содержанием образования;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качеством преподавания;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rPr>
                <w:sz w:val="26"/>
                <w:szCs w:val="26"/>
              </w:rPr>
            </w:pPr>
            <w:r w:rsidRPr="002C0F51">
              <w:rPr>
                <w:sz w:val="26"/>
                <w:szCs w:val="26"/>
              </w:rPr>
              <w:t xml:space="preserve">материальной базой, условиями реализации программ (оснащением, помещениями, оборудованием);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отношением педагогов к детям;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образовательными результатами.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4.2.1. 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обучающихся (PISA) в общей численности </w:t>
            </w:r>
            <w:r w:rsidRPr="002C0F51">
              <w:rPr>
                <w:sz w:val="26"/>
                <w:szCs w:val="26"/>
              </w:rPr>
              <w:lastRenderedPageBreak/>
              <w:t>российских обучающихся общеобразовательных организаций:</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 xml:space="preserve">международное исследование PIRLS;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международное исследование TIMSS:</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ind w:firstLine="283"/>
              <w:jc w:val="both"/>
              <w:rPr>
                <w:sz w:val="26"/>
                <w:szCs w:val="26"/>
              </w:rPr>
            </w:pPr>
            <w:r w:rsidRPr="002C0F51">
              <w:rPr>
                <w:sz w:val="26"/>
                <w:szCs w:val="26"/>
              </w:rPr>
              <w:t xml:space="preserve">математика (4 класс);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ind w:firstLine="283"/>
              <w:jc w:val="both"/>
              <w:rPr>
                <w:sz w:val="26"/>
                <w:szCs w:val="26"/>
              </w:rPr>
            </w:pPr>
            <w:r w:rsidRPr="002C0F51">
              <w:rPr>
                <w:sz w:val="26"/>
                <w:szCs w:val="26"/>
              </w:rPr>
              <w:t xml:space="preserve">математика (8 класс);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ind w:firstLine="283"/>
              <w:jc w:val="both"/>
              <w:rPr>
                <w:sz w:val="26"/>
                <w:szCs w:val="26"/>
              </w:rPr>
            </w:pPr>
            <w:r w:rsidRPr="002C0F51">
              <w:rPr>
                <w:sz w:val="26"/>
                <w:szCs w:val="26"/>
              </w:rPr>
              <w:t xml:space="preserve">естествознание (4 класс);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ind w:firstLine="283"/>
              <w:jc w:val="both"/>
              <w:rPr>
                <w:sz w:val="26"/>
                <w:szCs w:val="26"/>
              </w:rPr>
            </w:pPr>
            <w:r w:rsidRPr="002C0F51">
              <w:rPr>
                <w:sz w:val="26"/>
                <w:szCs w:val="26"/>
              </w:rPr>
              <w:t xml:space="preserve">естествознание (8 класс);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международное исследование PISA:</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ind w:firstLine="283"/>
              <w:jc w:val="both"/>
              <w:rPr>
                <w:sz w:val="26"/>
                <w:szCs w:val="26"/>
              </w:rPr>
            </w:pPr>
            <w:r w:rsidRPr="002C0F51">
              <w:rPr>
                <w:sz w:val="26"/>
                <w:szCs w:val="26"/>
              </w:rPr>
              <w:t xml:space="preserve">читательская грамотность;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ind w:firstLine="283"/>
              <w:jc w:val="both"/>
              <w:rPr>
                <w:sz w:val="26"/>
                <w:szCs w:val="26"/>
              </w:rPr>
            </w:pPr>
            <w:r w:rsidRPr="002C0F51">
              <w:rPr>
                <w:sz w:val="26"/>
                <w:szCs w:val="26"/>
              </w:rPr>
              <w:t xml:space="preserve">математическая грамотность;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ind w:firstLine="283"/>
              <w:jc w:val="both"/>
              <w:rPr>
                <w:sz w:val="26"/>
                <w:szCs w:val="26"/>
              </w:rPr>
            </w:pPr>
            <w:r w:rsidRPr="002C0F51">
              <w:rPr>
                <w:sz w:val="26"/>
                <w:szCs w:val="26"/>
              </w:rPr>
              <w:t xml:space="preserve">естественнонаучная грамотность. </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 Развитие механизмов государственно-частного управления в системе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4.3.1.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 </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4.3.1.1. Наличие на официальном сайте информации об образовательной организации,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дате создания образовательной организации;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 учредителе(</w:t>
            </w:r>
            <w:proofErr w:type="spellStart"/>
            <w:r w:rsidRPr="002C0F51">
              <w:rPr>
                <w:sz w:val="26"/>
                <w:szCs w:val="26"/>
              </w:rPr>
              <w:t>ях</w:t>
            </w:r>
            <w:proofErr w:type="spellEnd"/>
            <w:r w:rsidRPr="002C0F51">
              <w:rPr>
                <w:sz w:val="26"/>
                <w:szCs w:val="26"/>
              </w:rPr>
              <w:t>) образовательной организации;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месте нахождения образовательной организации и ее филиалов (при наличии);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режиме и графике работы образовательной организации;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контактных телефонах образовательной организации;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 адресах электронной почты образовательной организации.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4.3.1.2. Наличие на сайте информации о структуре и органах управления образовательной организацией:</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о структуре управления образовательной организацией;</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 органах управления образовательной организацией.</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4.3.1.3. Наличие на сайте информации о реализуемых образовательных программах, в том числе с указанием сведений:</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 учебных предметах;</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курсах;</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дисциплинах (модулях);</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практике(ах), предусмотренной(</w:t>
            </w:r>
            <w:proofErr w:type="spellStart"/>
            <w:r w:rsidRPr="002C0F51">
              <w:rPr>
                <w:sz w:val="26"/>
                <w:szCs w:val="26"/>
              </w:rPr>
              <w:t>ых</w:t>
            </w:r>
            <w:proofErr w:type="spellEnd"/>
            <w:r w:rsidRPr="002C0F51">
              <w:rPr>
                <w:sz w:val="26"/>
                <w:szCs w:val="26"/>
              </w:rPr>
              <w:t>) соответствующей образовательной программой.</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4.3.1.4. Наличие на сайте информации о численности обучающихся по реализуемым образовательным программам по источникам финансирования: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за счет бюджетных ассигнований федерального бюджета;</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за счет бюджетов субъектов Российской Федерации;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за счет местных бюджетов;</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по договорам об образовании за счет средств физических и (или) юридических лиц.</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4.3.1.5. Наличие на сайте информации о языках образования.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4.3.1.7. Наличие на сайте информации об администрации образовательной организации,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руководителе образовательной организации:</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фамилия, имя, отчество (при наличии);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должность;</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контактные телефоны;</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адрес электронной почты;</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заместителях руководителя образовательной организации:</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фамилия, имя, отчество (при наличии);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должность;</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контактные телефоны;</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адрес электронной почты;</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руководителях филиалов образовательной организации (при их наличии):</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фамилия, имя, отчество (при наличии);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должность;</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контактные телефоны;</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адрес электронной почты.</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фамилия, имя, отчество (при наличии) работника;</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занимаемая должность (должности);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преподаваемые учебные предметы, курсы, дисциплины (модули);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ученая степень (при наличии);</w:t>
            </w:r>
          </w:p>
        </w:tc>
        <w:tc>
          <w:tcPr>
            <w:tcW w:w="1701" w:type="dxa"/>
          </w:tcPr>
          <w:p w:rsidR="002C0F51" w:rsidRPr="002C0F51" w:rsidRDefault="002C0F51" w:rsidP="00F40DBF">
            <w:pPr>
              <w:pStyle w:val="ConsPlusNormal"/>
              <w:rPr>
                <w:sz w:val="26"/>
                <w:szCs w:val="26"/>
              </w:rPr>
            </w:pPr>
            <w:r w:rsidRPr="002C0F51">
              <w:rPr>
                <w:sz w:val="26"/>
                <w:szCs w:val="26"/>
              </w:rPr>
              <w:t>имеется/отсут</w:t>
            </w:r>
            <w:r w:rsidRPr="002C0F51">
              <w:rPr>
                <w:sz w:val="26"/>
                <w:szCs w:val="26"/>
              </w:rPr>
              <w:lastRenderedPageBreak/>
              <w:t>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ученое звание (при наличии);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наименование направления подготовки и (или) специальности;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данные о повышении квалификации и (или) профессиональной переподготовке (при наличии);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общий стаж работы;</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стаж работы по специальности.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4.3.1.9. Наличие на сайте информации о материально-техническом обеспечении образовательной деятельности,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 оборудованных учебных кабинетах;</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 объектах для проведения практических занятий;</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библиотеке(ах);</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 объектах спорта;</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средствах обучения и воспитания;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 условиях питания обучающихся;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 условиях охраны здоровья обучающихся;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доступе к информационным системам и информационно-телекоммуникационным сетям;</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 электронных образовательных ресурсах, к которым обеспечивается доступ обучающихся.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4.3.1.10. Наличие на сайте информации о результатах приема, перевода, восстановления и отчисления студентов,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результатах приема по каждой профессии;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о результатах приема по каждой специальности среднего профессионального образования (при наличии вступительных испытаний);</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результатах перевода;</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результатах восстановления и отчисления.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4.3.1.11. Наличие на сайте информации о предоставлении стипендии и мерах социальной поддержки обучающимся,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наличии и условиях предоставления обучающимся стипендий;</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мерах социальной поддержки обучающихся.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4.3.1.12. Наличие на сайте информации об общежитиях:</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наличии общежития;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количестве жилых помещений в общежитии, интернате для иногородних обучающихся;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формировании платы за проживание в общежитии.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4.3.1.13. Наличие на сайте информации о количестве вакантных мест для приема (перевода),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количестве вакантных мест для приема (перевода) по каждой образовательной программе;</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количестве вакантных мест для приема (перевода) по каждой специальности;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количестве вакантных мест для приема (перевода) по каждому направлению подготовки;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количестве вакантных мест для приема (перевода) по каждой профессии.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4.3.1.14. Наличие на сайте информации о поступлении финансовых и материальных средств и об их расходовании,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поступлении финансовых и материальных средств по итогам финансового года;</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 расходовании финансовых и материальных средств по итогам финансового года.</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4.3.1.15. Наличие на сайте информации о трудоустройстве выпускников.</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4.3.1.16. Наличие на сайте копии устава образовательной организации.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4.3.1.17. Наличие на сайте копии лицензии на осуществление образовательной деятельности (с приложениями).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4.3.1.18. Наличие на сайте копии свидетельства о государственной аккредитации (с приложениями).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4.3.1.19. 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4.3.1.20. Наличие на сайте копий локальных нормативных актов, в том числе регламентирующих:</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правила приема обучающихся;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режим занятий обучающихся;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формы, периодичность и порядок текущего контроля успеваемости и промежуточной аттестации обучающихся;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порядок и основания перевода, отчисления и восстановления обучающихся;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правила внутреннего распорядка обучающихся;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правила внутреннего трудового распорядка;</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коллективный договор.</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4.3.1.21. Наличие на сайте копии отчета о результатах самообследования.</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4.3.1.22. Наличие на сайте копии документа о порядке оказания платных образовательных услуг.</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4.3.1.24. Наличие на сайте копий разработанных и утвержденных образовательной организацией образовательных программ.</w:t>
            </w:r>
          </w:p>
        </w:tc>
        <w:tc>
          <w:tcPr>
            <w:tcW w:w="1701" w:type="dxa"/>
          </w:tcPr>
          <w:p w:rsidR="002C0F51" w:rsidRPr="002C0F51" w:rsidRDefault="002C0F51" w:rsidP="00F40DBF">
            <w:pPr>
              <w:pStyle w:val="ConsPlusNormal"/>
              <w:rPr>
                <w:sz w:val="26"/>
                <w:szCs w:val="26"/>
              </w:rPr>
            </w:pPr>
            <w:r w:rsidRPr="002C0F51">
              <w:rPr>
                <w:sz w:val="26"/>
                <w:szCs w:val="26"/>
              </w:rPr>
              <w:t>имеются/отсутствуют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4.3.1.25. Наличие на сайте информации о методической обеспеченности образовательного процесса,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наличие учебных планов по всем реализуемым образовательным программам;</w:t>
            </w:r>
          </w:p>
        </w:tc>
        <w:tc>
          <w:tcPr>
            <w:tcW w:w="1701" w:type="dxa"/>
          </w:tcPr>
          <w:p w:rsidR="002C0F51" w:rsidRPr="002C0F51" w:rsidRDefault="002C0F51" w:rsidP="00F40DBF">
            <w:pPr>
              <w:pStyle w:val="ConsPlusNormal"/>
              <w:rPr>
                <w:sz w:val="26"/>
                <w:szCs w:val="26"/>
              </w:rPr>
            </w:pPr>
            <w:r w:rsidRPr="002C0F51">
              <w:rPr>
                <w:sz w:val="26"/>
                <w:szCs w:val="26"/>
              </w:rPr>
              <w:t>имеются/отсутствуют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1701" w:type="dxa"/>
          </w:tcPr>
          <w:p w:rsidR="002C0F51" w:rsidRPr="002C0F51" w:rsidRDefault="002C0F51" w:rsidP="00F40DBF">
            <w:pPr>
              <w:pStyle w:val="ConsPlusNormal"/>
              <w:rPr>
                <w:sz w:val="26"/>
                <w:szCs w:val="26"/>
              </w:rPr>
            </w:pPr>
            <w:r w:rsidRPr="002C0F51">
              <w:rPr>
                <w:sz w:val="26"/>
                <w:szCs w:val="26"/>
              </w:rPr>
              <w:t>имеются/отсутствуют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наличие всех программ практик в соответствии с требованиями федеральных государственных образовательных стандартов;</w:t>
            </w:r>
          </w:p>
        </w:tc>
        <w:tc>
          <w:tcPr>
            <w:tcW w:w="1701" w:type="dxa"/>
          </w:tcPr>
          <w:p w:rsidR="002C0F51" w:rsidRPr="002C0F51" w:rsidRDefault="002C0F51" w:rsidP="00F40DBF">
            <w:pPr>
              <w:pStyle w:val="ConsPlusNormal"/>
              <w:rPr>
                <w:sz w:val="26"/>
                <w:szCs w:val="26"/>
              </w:rPr>
            </w:pPr>
            <w:r w:rsidRPr="002C0F51">
              <w:rPr>
                <w:sz w:val="26"/>
                <w:szCs w:val="26"/>
              </w:rPr>
              <w:t>имеются/отсутствуют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наличие календарных учебных графиков.</w:t>
            </w:r>
          </w:p>
        </w:tc>
        <w:tc>
          <w:tcPr>
            <w:tcW w:w="1701" w:type="dxa"/>
          </w:tcPr>
          <w:p w:rsidR="002C0F51" w:rsidRPr="002C0F51" w:rsidRDefault="002C0F51" w:rsidP="00F40DBF">
            <w:pPr>
              <w:pStyle w:val="ConsPlusNormal"/>
              <w:rPr>
                <w:sz w:val="26"/>
                <w:szCs w:val="26"/>
              </w:rPr>
            </w:pPr>
            <w:r w:rsidRPr="002C0F51">
              <w:rPr>
                <w:sz w:val="26"/>
                <w:szCs w:val="26"/>
              </w:rPr>
              <w:t>имеются/отсутствуют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наличие собственных электронных образовательных и информационных ресурсов;</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наличие сторонних электронных образовательных и информационных ресурсов;</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наличие базы данных электронного каталога.</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1701" w:type="dxa"/>
          </w:tcPr>
          <w:p w:rsidR="002C0F51" w:rsidRPr="002C0F51" w:rsidRDefault="002C0F51" w:rsidP="00F40DBF">
            <w:pPr>
              <w:pStyle w:val="ConsPlusNormal"/>
              <w:rPr>
                <w:sz w:val="26"/>
                <w:szCs w:val="26"/>
              </w:rPr>
            </w:pPr>
            <w:r w:rsidRPr="002C0F51">
              <w:rPr>
                <w:sz w:val="26"/>
                <w:szCs w:val="26"/>
              </w:rPr>
              <w:t>имеется/отсутствует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4.3.2.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w:t>
            </w:r>
            <w:r w:rsidRPr="002C0F51">
              <w:rPr>
                <w:sz w:val="26"/>
                <w:szCs w:val="26"/>
              </w:rPr>
              <w:lastRenderedPageBreak/>
              <w:t xml:space="preserve">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 </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4.3.2.1.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соблюдение установленного срока внесения сведений;</w:t>
            </w:r>
          </w:p>
        </w:tc>
        <w:tc>
          <w:tcPr>
            <w:tcW w:w="1701" w:type="dxa"/>
          </w:tcPr>
          <w:p w:rsidR="002C0F51" w:rsidRPr="002C0F51" w:rsidRDefault="002C0F51" w:rsidP="00F40DBF">
            <w:pPr>
              <w:pStyle w:val="ConsPlusNormal"/>
              <w:rPr>
                <w:sz w:val="26"/>
                <w:szCs w:val="26"/>
              </w:rPr>
            </w:pPr>
            <w:r w:rsidRPr="002C0F51">
              <w:rPr>
                <w:sz w:val="26"/>
                <w:szCs w:val="26"/>
              </w:rPr>
              <w:t>соблюдается/не соблюдается</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 правилах приема, утвержденных образовательной организацией самостоятельно;</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 приоритетности вступительных испытаний при ранжировании поступающих по результатам вступительных испытаний;</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 минимальном количестве баллов для каждого вступительного испытания по каждому конкурсу;</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об особенностях проведения вступительных испытаний для лиц с ограниченными возможностями здоровья, инвалидов.</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4.3.2.2. 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соблюдение установленного срока внесения сведений;</w:t>
            </w:r>
          </w:p>
        </w:tc>
        <w:tc>
          <w:tcPr>
            <w:tcW w:w="1701" w:type="dxa"/>
          </w:tcPr>
          <w:p w:rsidR="002C0F51" w:rsidRPr="002C0F51" w:rsidRDefault="002C0F51" w:rsidP="00F40DBF">
            <w:pPr>
              <w:pStyle w:val="ConsPlusNormal"/>
              <w:rPr>
                <w:sz w:val="26"/>
                <w:szCs w:val="26"/>
              </w:rPr>
            </w:pPr>
            <w:r w:rsidRPr="002C0F51">
              <w:rPr>
                <w:sz w:val="26"/>
                <w:szCs w:val="26"/>
              </w:rPr>
              <w:t>соблюдается/не соблюдается</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 контрольных цифрах приема на обучение;</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внесение сведений о количестве мест для приема граждан на обучение за счет средств федерального бюджета;</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 квотах целевого приема на обучение (при наличии);</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 количестве мест для приема по договорам об образовании за счет средств физических и (или) юридических лиц;</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 квоте приема лиц, имеющих особые права.</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4.3.2.3. Внесение сведений в ФИС ГИА и приема о заявлениях о приеме в образовательную организацию, а также о заявлениях, возвращенных образовательной организацией.</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 результатах вступительных испытаний в образовательную организацию (при наличии);</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об особых правах, предоставленных поступающим при приеме;</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внесение сведений о списках лиц, рекомендованных к зачислению.</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4.3.2.5. Внесение сведений в ФИС ГИА и приема о заявлениях лиц, отказавшихся от зачисления.</w:t>
            </w:r>
          </w:p>
        </w:tc>
        <w:tc>
          <w:tcPr>
            <w:tcW w:w="1701" w:type="dxa"/>
          </w:tcPr>
          <w:p w:rsidR="002C0F51" w:rsidRPr="002C0F51" w:rsidRDefault="002C0F51" w:rsidP="00F40DBF">
            <w:pPr>
              <w:pStyle w:val="ConsPlusNormal"/>
              <w:rPr>
                <w:sz w:val="26"/>
                <w:szCs w:val="26"/>
              </w:rPr>
            </w:pPr>
            <w:r w:rsidRPr="002C0F51">
              <w:rPr>
                <w:sz w:val="26"/>
                <w:szCs w:val="26"/>
              </w:rPr>
              <w:t>внесены/не внесены</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4.3.2.6. Соблюдение требований в части приема граждан на обучение в образовательную организацию (в том числе сведений ЕГЭ), а именно:</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соблюдение установленных сроков размещения на официальном сайте информации о начале приема документов, необходимых для поступления;</w:t>
            </w:r>
          </w:p>
        </w:tc>
        <w:tc>
          <w:tcPr>
            <w:tcW w:w="1701" w:type="dxa"/>
          </w:tcPr>
          <w:p w:rsidR="002C0F51" w:rsidRPr="002C0F51" w:rsidRDefault="002C0F51" w:rsidP="00F40DBF">
            <w:pPr>
              <w:pStyle w:val="ConsPlusNormal"/>
              <w:rPr>
                <w:sz w:val="26"/>
                <w:szCs w:val="26"/>
              </w:rPr>
            </w:pPr>
            <w:r w:rsidRPr="002C0F51">
              <w:rPr>
                <w:sz w:val="26"/>
                <w:szCs w:val="26"/>
              </w:rPr>
              <w:t>соблюдаются/не соблюдаются</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1701" w:type="dxa"/>
          </w:tcPr>
          <w:p w:rsidR="002C0F51" w:rsidRPr="002C0F51" w:rsidRDefault="002C0F51" w:rsidP="00F40DBF">
            <w:pPr>
              <w:pStyle w:val="ConsPlusNormal"/>
              <w:rPr>
                <w:sz w:val="26"/>
                <w:szCs w:val="26"/>
              </w:rPr>
            </w:pPr>
            <w:r w:rsidRPr="002C0F51">
              <w:rPr>
                <w:sz w:val="26"/>
                <w:szCs w:val="26"/>
              </w:rPr>
              <w:t>соблюдаются/не соблюдаются</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1701" w:type="dxa"/>
          </w:tcPr>
          <w:p w:rsidR="002C0F51" w:rsidRPr="002C0F51" w:rsidRDefault="002C0F51" w:rsidP="00F40DBF">
            <w:pPr>
              <w:pStyle w:val="ConsPlusNormal"/>
              <w:rPr>
                <w:sz w:val="26"/>
                <w:szCs w:val="26"/>
              </w:rPr>
            </w:pPr>
            <w:r w:rsidRPr="002C0F51">
              <w:rPr>
                <w:sz w:val="26"/>
                <w:szCs w:val="26"/>
              </w:rPr>
              <w:t>соблюдаются/не соблюдаются</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соответствие сведений о количестве баллов ЕГЭ в приказах о зачислении результатам, содержащимся в подсистеме ФИС ГИА и приема;</w:t>
            </w:r>
          </w:p>
        </w:tc>
        <w:tc>
          <w:tcPr>
            <w:tcW w:w="1701" w:type="dxa"/>
          </w:tcPr>
          <w:p w:rsidR="002C0F51" w:rsidRPr="002C0F51" w:rsidRDefault="002C0F51" w:rsidP="00F40DBF">
            <w:pPr>
              <w:pStyle w:val="ConsPlusNormal"/>
              <w:rPr>
                <w:sz w:val="26"/>
                <w:szCs w:val="26"/>
              </w:rPr>
            </w:pPr>
            <w:r w:rsidRPr="002C0F51">
              <w:rPr>
                <w:sz w:val="26"/>
                <w:szCs w:val="26"/>
              </w:rPr>
              <w:t xml:space="preserve">соответствуют/не </w:t>
            </w:r>
            <w:r w:rsidRPr="002C0F51">
              <w:rPr>
                <w:sz w:val="26"/>
                <w:szCs w:val="26"/>
              </w:rPr>
              <w:lastRenderedPageBreak/>
              <w:t>соответствуют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1701" w:type="dxa"/>
          </w:tcPr>
          <w:p w:rsidR="002C0F51" w:rsidRPr="002C0F51" w:rsidRDefault="002C0F51" w:rsidP="00F40DBF">
            <w:pPr>
              <w:pStyle w:val="ConsPlusNormal"/>
              <w:rPr>
                <w:sz w:val="26"/>
                <w:szCs w:val="26"/>
              </w:rPr>
            </w:pPr>
            <w:r w:rsidRPr="002C0F51">
              <w:rPr>
                <w:sz w:val="26"/>
                <w:szCs w:val="26"/>
              </w:rPr>
              <w:t>соблюдается/не соблюдается</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
        </w:tc>
        <w:tc>
          <w:tcPr>
            <w:tcW w:w="1701" w:type="dxa"/>
          </w:tcPr>
          <w:p w:rsidR="002C0F51" w:rsidRPr="002C0F51" w:rsidRDefault="002C0F51" w:rsidP="00F40DBF">
            <w:pPr>
              <w:pStyle w:val="ConsPlusNormal"/>
              <w:rPr>
                <w:sz w:val="26"/>
                <w:szCs w:val="26"/>
              </w:rPr>
            </w:pPr>
            <w:r w:rsidRPr="002C0F51">
              <w:rPr>
                <w:sz w:val="26"/>
                <w:szCs w:val="26"/>
              </w:rPr>
              <w:t>соблюдается/не соблюдается</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отсутствие в приказе образовательной организации информации о зачислении граждан, зачисленных на второй и последующие курсы;</w:t>
            </w:r>
          </w:p>
        </w:tc>
        <w:tc>
          <w:tcPr>
            <w:tcW w:w="1701" w:type="dxa"/>
          </w:tcPr>
          <w:p w:rsidR="002C0F51" w:rsidRPr="002C0F51" w:rsidRDefault="002C0F51" w:rsidP="00F40DBF">
            <w:pPr>
              <w:pStyle w:val="ConsPlusNormal"/>
              <w:rPr>
                <w:sz w:val="26"/>
                <w:szCs w:val="26"/>
              </w:rPr>
            </w:pPr>
            <w:r w:rsidRPr="002C0F51">
              <w:rPr>
                <w:sz w:val="26"/>
                <w:szCs w:val="26"/>
              </w:rPr>
              <w:t>соблюдается/не соблюдается</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отсутствие в приказе образовательной организации информации о 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1701" w:type="dxa"/>
          </w:tcPr>
          <w:p w:rsidR="002C0F51" w:rsidRPr="002C0F51" w:rsidRDefault="002C0F51" w:rsidP="00F40DBF">
            <w:pPr>
              <w:pStyle w:val="ConsPlusNormal"/>
              <w:rPr>
                <w:sz w:val="26"/>
                <w:szCs w:val="26"/>
              </w:rPr>
            </w:pPr>
            <w:r w:rsidRPr="002C0F51">
              <w:rPr>
                <w:sz w:val="26"/>
                <w:szCs w:val="26"/>
              </w:rPr>
              <w:t>соблюдается/не соблюдается</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 xml:space="preserve">4.3.3.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 </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4.3.3.1. Соответствие сведений, представленных на сайте образовательной организации, сведениям, представленным в ФИС ГИА и приема,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правил приема, утвержденных образовательной организацией самостоятельно, сведениям о приеме на обучение;</w:t>
            </w:r>
          </w:p>
        </w:tc>
        <w:tc>
          <w:tcPr>
            <w:tcW w:w="1701" w:type="dxa"/>
          </w:tcPr>
          <w:p w:rsidR="002C0F51" w:rsidRPr="002C0F51" w:rsidRDefault="002C0F51" w:rsidP="00F40DBF">
            <w:pPr>
              <w:pStyle w:val="ConsPlusNormal"/>
              <w:rPr>
                <w:sz w:val="26"/>
                <w:szCs w:val="26"/>
              </w:rPr>
            </w:pPr>
            <w:r w:rsidRPr="002C0F51">
              <w:rPr>
                <w:sz w:val="26"/>
                <w:szCs w:val="26"/>
              </w:rPr>
              <w:t>соответствуют/не соответствуют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информации о приоритетности вступительных испытаний при ранжировании поступающих по результатам вступительных испытаний;</w:t>
            </w:r>
          </w:p>
        </w:tc>
        <w:tc>
          <w:tcPr>
            <w:tcW w:w="1701" w:type="dxa"/>
          </w:tcPr>
          <w:p w:rsidR="002C0F51" w:rsidRPr="002C0F51" w:rsidRDefault="002C0F51" w:rsidP="00F40DBF">
            <w:pPr>
              <w:pStyle w:val="ConsPlusNormal"/>
              <w:rPr>
                <w:sz w:val="26"/>
                <w:szCs w:val="26"/>
              </w:rPr>
            </w:pPr>
            <w:r w:rsidRPr="002C0F51">
              <w:rPr>
                <w:sz w:val="26"/>
                <w:szCs w:val="26"/>
              </w:rPr>
              <w:t>соответствует/не соответствует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информации о формах проведения и программе вступительных испытаний, проводимых образовательной организацией самостоятельно;</w:t>
            </w:r>
          </w:p>
        </w:tc>
        <w:tc>
          <w:tcPr>
            <w:tcW w:w="1701" w:type="dxa"/>
          </w:tcPr>
          <w:p w:rsidR="002C0F51" w:rsidRPr="002C0F51" w:rsidRDefault="002C0F51" w:rsidP="00F40DBF">
            <w:pPr>
              <w:pStyle w:val="ConsPlusNormal"/>
              <w:rPr>
                <w:sz w:val="26"/>
                <w:szCs w:val="26"/>
              </w:rPr>
            </w:pPr>
            <w:r w:rsidRPr="002C0F51">
              <w:rPr>
                <w:sz w:val="26"/>
                <w:szCs w:val="26"/>
              </w:rPr>
              <w:t>соответствует/не соответствует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информации о минимальном количестве баллов для каждого вступительного испытания по каждому конкурсу.</w:t>
            </w:r>
          </w:p>
        </w:tc>
        <w:tc>
          <w:tcPr>
            <w:tcW w:w="1701" w:type="dxa"/>
          </w:tcPr>
          <w:p w:rsidR="002C0F51" w:rsidRPr="002C0F51" w:rsidRDefault="002C0F51" w:rsidP="00F40DBF">
            <w:pPr>
              <w:pStyle w:val="ConsPlusNormal"/>
              <w:rPr>
                <w:sz w:val="26"/>
                <w:szCs w:val="26"/>
              </w:rPr>
            </w:pPr>
            <w:r w:rsidRPr="002C0F51">
              <w:rPr>
                <w:sz w:val="26"/>
                <w:szCs w:val="26"/>
              </w:rPr>
              <w:t>соответствует/не соответствует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4.3.3.2. 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сведений о контрольных цифрах приема граждан на обучение;</w:t>
            </w:r>
          </w:p>
        </w:tc>
        <w:tc>
          <w:tcPr>
            <w:tcW w:w="1701" w:type="dxa"/>
          </w:tcPr>
          <w:p w:rsidR="002C0F51" w:rsidRPr="002C0F51" w:rsidRDefault="002C0F51" w:rsidP="00F40DBF">
            <w:pPr>
              <w:pStyle w:val="ConsPlusNormal"/>
              <w:rPr>
                <w:sz w:val="26"/>
                <w:szCs w:val="26"/>
              </w:rPr>
            </w:pPr>
            <w:r w:rsidRPr="002C0F51">
              <w:rPr>
                <w:sz w:val="26"/>
                <w:szCs w:val="26"/>
              </w:rPr>
              <w:t>соответствуют/не соответствуют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сведений о количестве мест для приема граждан на обучение за счет средств федерального бюджета;</w:t>
            </w:r>
          </w:p>
        </w:tc>
        <w:tc>
          <w:tcPr>
            <w:tcW w:w="1701" w:type="dxa"/>
          </w:tcPr>
          <w:p w:rsidR="002C0F51" w:rsidRPr="002C0F51" w:rsidRDefault="002C0F51" w:rsidP="00F40DBF">
            <w:pPr>
              <w:pStyle w:val="ConsPlusNormal"/>
              <w:rPr>
                <w:sz w:val="26"/>
                <w:szCs w:val="26"/>
              </w:rPr>
            </w:pPr>
            <w:r w:rsidRPr="002C0F51">
              <w:rPr>
                <w:sz w:val="26"/>
                <w:szCs w:val="26"/>
              </w:rPr>
              <w:t>соответствуют/не соответствуют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сведений о квотах целевого приема (при наличии);</w:t>
            </w:r>
          </w:p>
        </w:tc>
        <w:tc>
          <w:tcPr>
            <w:tcW w:w="1701" w:type="dxa"/>
          </w:tcPr>
          <w:p w:rsidR="002C0F51" w:rsidRPr="002C0F51" w:rsidRDefault="002C0F51" w:rsidP="00F40DBF">
            <w:pPr>
              <w:pStyle w:val="ConsPlusNormal"/>
              <w:rPr>
                <w:sz w:val="26"/>
                <w:szCs w:val="26"/>
              </w:rPr>
            </w:pPr>
            <w:r w:rsidRPr="002C0F51">
              <w:rPr>
                <w:sz w:val="26"/>
                <w:szCs w:val="26"/>
              </w:rPr>
              <w:t>соответствуют/не соответствуют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сведений о количестве мест для приема по договорам об образовании за счет средств физических и (или) юридических лиц;</w:t>
            </w:r>
          </w:p>
        </w:tc>
        <w:tc>
          <w:tcPr>
            <w:tcW w:w="1701" w:type="dxa"/>
          </w:tcPr>
          <w:p w:rsidR="002C0F51" w:rsidRPr="002C0F51" w:rsidRDefault="002C0F51" w:rsidP="00F40DBF">
            <w:pPr>
              <w:pStyle w:val="ConsPlusNormal"/>
              <w:rPr>
                <w:sz w:val="26"/>
                <w:szCs w:val="26"/>
              </w:rPr>
            </w:pPr>
            <w:r w:rsidRPr="002C0F51">
              <w:rPr>
                <w:sz w:val="26"/>
                <w:szCs w:val="26"/>
              </w:rPr>
              <w:t>соответствуют/не соответствуют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сведений о квоте приема лиц, имеющих особое право.</w:t>
            </w:r>
          </w:p>
        </w:tc>
        <w:tc>
          <w:tcPr>
            <w:tcW w:w="1701" w:type="dxa"/>
          </w:tcPr>
          <w:p w:rsidR="002C0F51" w:rsidRPr="002C0F51" w:rsidRDefault="002C0F51" w:rsidP="00F40DBF">
            <w:pPr>
              <w:pStyle w:val="ConsPlusNormal"/>
              <w:rPr>
                <w:sz w:val="26"/>
                <w:szCs w:val="26"/>
              </w:rPr>
            </w:pPr>
            <w:r w:rsidRPr="002C0F51">
              <w:rPr>
                <w:sz w:val="26"/>
                <w:szCs w:val="26"/>
              </w:rPr>
              <w:t>соответствуют/не соответствуют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сведений о результатах вступительных испытаний в образовательную организацию;</w:t>
            </w:r>
          </w:p>
        </w:tc>
        <w:tc>
          <w:tcPr>
            <w:tcW w:w="1701" w:type="dxa"/>
          </w:tcPr>
          <w:p w:rsidR="002C0F51" w:rsidRPr="002C0F51" w:rsidRDefault="002C0F51" w:rsidP="00F40DBF">
            <w:pPr>
              <w:pStyle w:val="ConsPlusNormal"/>
              <w:rPr>
                <w:sz w:val="26"/>
                <w:szCs w:val="26"/>
              </w:rPr>
            </w:pPr>
            <w:r w:rsidRPr="002C0F51">
              <w:rPr>
                <w:sz w:val="26"/>
                <w:szCs w:val="26"/>
              </w:rPr>
              <w:t>соответствуют/не соответствуют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сведений об особых правах, предоставленных поступающим при приеме;</w:t>
            </w:r>
          </w:p>
        </w:tc>
        <w:tc>
          <w:tcPr>
            <w:tcW w:w="1701" w:type="dxa"/>
          </w:tcPr>
          <w:p w:rsidR="002C0F51" w:rsidRPr="002C0F51" w:rsidRDefault="002C0F51" w:rsidP="00F40DBF">
            <w:pPr>
              <w:pStyle w:val="ConsPlusNormal"/>
              <w:rPr>
                <w:sz w:val="26"/>
                <w:szCs w:val="26"/>
              </w:rPr>
            </w:pPr>
            <w:r w:rsidRPr="002C0F51">
              <w:rPr>
                <w:sz w:val="26"/>
                <w:szCs w:val="26"/>
              </w:rPr>
              <w:t xml:space="preserve">соответствуют/не </w:t>
            </w:r>
            <w:r w:rsidRPr="002C0F51">
              <w:rPr>
                <w:sz w:val="26"/>
                <w:szCs w:val="26"/>
              </w:rPr>
              <w:lastRenderedPageBreak/>
              <w:t>соответствуют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сведений о зачислении лиц, успешно прошедших вступительные испытания.</w:t>
            </w:r>
          </w:p>
        </w:tc>
        <w:tc>
          <w:tcPr>
            <w:tcW w:w="1701" w:type="dxa"/>
          </w:tcPr>
          <w:p w:rsidR="002C0F51" w:rsidRPr="002C0F51" w:rsidRDefault="002C0F51" w:rsidP="00F40DBF">
            <w:pPr>
              <w:pStyle w:val="ConsPlusNormal"/>
              <w:rPr>
                <w:sz w:val="26"/>
                <w:szCs w:val="26"/>
              </w:rPr>
            </w:pPr>
            <w:r w:rsidRPr="002C0F51">
              <w:rPr>
                <w:sz w:val="26"/>
                <w:szCs w:val="26"/>
              </w:rPr>
              <w:t>соответствуют/не соответствуют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4.3.3.4.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
        </w:tc>
        <w:tc>
          <w:tcPr>
            <w:tcW w:w="1701" w:type="dxa"/>
          </w:tcPr>
          <w:p w:rsidR="002C0F51" w:rsidRPr="002C0F51" w:rsidRDefault="002C0F51" w:rsidP="00F40DBF">
            <w:pPr>
              <w:pStyle w:val="ConsPlusNormal"/>
              <w:rPr>
                <w:sz w:val="26"/>
                <w:szCs w:val="26"/>
              </w:rPr>
            </w:pPr>
            <w:r w:rsidRPr="002C0F51">
              <w:rPr>
                <w:sz w:val="26"/>
                <w:szCs w:val="26"/>
              </w:rPr>
              <w:t>соответствуют/не соответствуют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1701" w:type="dxa"/>
          </w:tcPr>
          <w:p w:rsidR="002C0F51" w:rsidRPr="002C0F51" w:rsidRDefault="002C0F51" w:rsidP="00F40DBF">
            <w:pPr>
              <w:pStyle w:val="ConsPlusNormal"/>
              <w:rPr>
                <w:sz w:val="26"/>
                <w:szCs w:val="26"/>
              </w:rPr>
            </w:pPr>
            <w:r w:rsidRPr="002C0F51">
              <w:rPr>
                <w:sz w:val="26"/>
                <w:szCs w:val="26"/>
              </w:rPr>
              <w:t>соответствуют/не соответствуют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4.3.4. Удельный вес числа образовательных организаций, в которых созданы коллегиальные органы управления, в общем числе образовательных организаций:</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образовательные организации высшего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организации, осуществляющие образовательную деятельность по дополнительным профессиональным программам.</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4.4. Развитие региональных систем оценки качества образования</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4.4.1. Удельный вес числа организаций, имеющих веб-сайт в сети "Интернет", в общем числе организаций:</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дошкольные образовательные организации;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lastRenderedPageBreak/>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образовательные организации высшего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организации дополнительного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организации, осуществляющие образовательную деятельность по дополнительным профессиональным программам.</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4.4.2.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1701" w:type="dxa"/>
          </w:tcPr>
          <w:p w:rsidR="002C0F51" w:rsidRPr="002C0F51" w:rsidRDefault="002C0F51" w:rsidP="00F40DBF">
            <w:pPr>
              <w:pStyle w:val="ConsPlusNormal"/>
              <w:rPr>
                <w:sz w:val="26"/>
                <w:szCs w:val="26"/>
              </w:rPr>
            </w:pP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дошкольные образовательные организации;</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образовательные организации высшего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организации дополнительного образования;</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r w:rsidR="002C0F51" w:rsidRPr="002C0F51" w:rsidTr="00E25A42">
        <w:tc>
          <w:tcPr>
            <w:tcW w:w="8426" w:type="dxa"/>
          </w:tcPr>
          <w:p w:rsidR="002C0F51" w:rsidRPr="002C0F51" w:rsidRDefault="002C0F51" w:rsidP="00F40DBF">
            <w:pPr>
              <w:pStyle w:val="ConsPlusNormal"/>
              <w:jc w:val="both"/>
              <w:rPr>
                <w:sz w:val="26"/>
                <w:szCs w:val="26"/>
              </w:rPr>
            </w:pPr>
            <w:r w:rsidRPr="002C0F51">
              <w:rPr>
                <w:sz w:val="26"/>
                <w:szCs w:val="26"/>
              </w:rPr>
              <w:t>организации, осуществляющие образовательную деятельность по дополнительным профессиональным программам.</w:t>
            </w:r>
          </w:p>
        </w:tc>
        <w:tc>
          <w:tcPr>
            <w:tcW w:w="1701" w:type="dxa"/>
          </w:tcPr>
          <w:p w:rsidR="002C0F51" w:rsidRPr="002C0F51" w:rsidRDefault="002C0F51" w:rsidP="00F40DBF">
            <w:pPr>
              <w:pStyle w:val="ConsPlusNormal"/>
              <w:rPr>
                <w:sz w:val="26"/>
                <w:szCs w:val="26"/>
              </w:rPr>
            </w:pPr>
            <w:r w:rsidRPr="002C0F51">
              <w:rPr>
                <w:sz w:val="26"/>
                <w:szCs w:val="26"/>
              </w:rPr>
              <w:t>процент</w:t>
            </w:r>
          </w:p>
        </w:tc>
      </w:tr>
    </w:tbl>
    <w:p w:rsidR="002C0F51" w:rsidRPr="002C0F51" w:rsidRDefault="002C0F51" w:rsidP="002C0F51">
      <w:pPr>
        <w:rPr>
          <w:rFonts w:ascii="Times New Roman" w:hAnsi="Times New Roman" w:cs="Times New Roman"/>
          <w:sz w:val="28"/>
          <w:szCs w:val="28"/>
        </w:rPr>
      </w:pPr>
    </w:p>
    <w:p w:rsidR="00A932C6" w:rsidRDefault="00A932C6" w:rsidP="00A932C6">
      <w:pPr>
        <w:pStyle w:val="20"/>
        <w:shd w:val="clear" w:color="auto" w:fill="auto"/>
        <w:spacing w:line="240" w:lineRule="auto"/>
        <w:rPr>
          <w:rFonts w:ascii="Times New Roman" w:hAnsi="Times New Roman" w:cs="Times New Roman"/>
          <w:b/>
          <w:color w:val="auto"/>
          <w:sz w:val="28"/>
          <w:szCs w:val="28"/>
        </w:rPr>
      </w:pPr>
    </w:p>
    <w:sectPr w:rsidR="00A932C6" w:rsidSect="002C0F51">
      <w:type w:val="continuous"/>
      <w:pgSz w:w="11900" w:h="16840"/>
      <w:pgMar w:top="1134" w:right="567" w:bottom="1134" w:left="1134" w:header="0" w:footer="1429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FF" w:rsidRDefault="00CD5EFF">
      <w:r>
        <w:separator/>
      </w:r>
    </w:p>
  </w:endnote>
  <w:endnote w:type="continuationSeparator" w:id="0">
    <w:p w:rsidR="00CD5EFF" w:rsidRDefault="00CD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FF" w:rsidRDefault="00CD5EFF"/>
  </w:footnote>
  <w:footnote w:type="continuationSeparator" w:id="0">
    <w:p w:rsidR="00CD5EFF" w:rsidRDefault="00CD5EF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BF" w:rsidRDefault="00F40DBF">
    <w:pPr>
      <w:pStyle w:val="a4"/>
    </w:pPr>
  </w:p>
  <w:p w:rsidR="00F40DBF" w:rsidRDefault="00F40DBF" w:rsidP="00A72255">
    <w:pPr>
      <w:pStyle w:val="a4"/>
      <w:jc w:val="right"/>
    </w:pPr>
    <w:r>
      <w:t>ПРОЕКТ</w:t>
    </w:r>
  </w:p>
  <w:p w:rsidR="00F40DBF" w:rsidRDefault="00F40DBF">
    <w:pPr>
      <w:pStyle w:val="a4"/>
    </w:pPr>
  </w:p>
  <w:p w:rsidR="00F40DBF" w:rsidRDefault="00F40DBF" w:rsidP="008C5262">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A4"/>
    <w:rsid w:val="001318AD"/>
    <w:rsid w:val="001929DD"/>
    <w:rsid w:val="00213682"/>
    <w:rsid w:val="00235874"/>
    <w:rsid w:val="00244715"/>
    <w:rsid w:val="0025636A"/>
    <w:rsid w:val="002A18CD"/>
    <w:rsid w:val="002C0F51"/>
    <w:rsid w:val="002E498F"/>
    <w:rsid w:val="00304919"/>
    <w:rsid w:val="003C7175"/>
    <w:rsid w:val="00551881"/>
    <w:rsid w:val="00562CA4"/>
    <w:rsid w:val="005C4EB7"/>
    <w:rsid w:val="005F0762"/>
    <w:rsid w:val="0060396A"/>
    <w:rsid w:val="00645A92"/>
    <w:rsid w:val="00645BDA"/>
    <w:rsid w:val="00705BE6"/>
    <w:rsid w:val="007356DD"/>
    <w:rsid w:val="00776320"/>
    <w:rsid w:val="00810450"/>
    <w:rsid w:val="008252BD"/>
    <w:rsid w:val="008C5262"/>
    <w:rsid w:val="0097342C"/>
    <w:rsid w:val="009B36D9"/>
    <w:rsid w:val="00A435E7"/>
    <w:rsid w:val="00A72255"/>
    <w:rsid w:val="00A91D58"/>
    <w:rsid w:val="00A932C6"/>
    <w:rsid w:val="00B363D5"/>
    <w:rsid w:val="00BD2ED8"/>
    <w:rsid w:val="00C266EE"/>
    <w:rsid w:val="00C554A7"/>
    <w:rsid w:val="00C7184A"/>
    <w:rsid w:val="00C8677E"/>
    <w:rsid w:val="00CB0831"/>
    <w:rsid w:val="00CD5EFF"/>
    <w:rsid w:val="00E25A42"/>
    <w:rsid w:val="00E81FE8"/>
    <w:rsid w:val="00EA71CE"/>
    <w:rsid w:val="00EF769F"/>
    <w:rsid w:val="00F15EAC"/>
    <w:rsid w:val="00F40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1AD34"/>
  <w15:docId w15:val="{05232471-0361-4484-AF7F-18349782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F0762"/>
    <w:rPr>
      <w:color w:val="000000"/>
    </w:rPr>
  </w:style>
  <w:style w:type="paragraph" w:styleId="1">
    <w:name w:val="heading 1"/>
    <w:basedOn w:val="a"/>
    <w:next w:val="a"/>
    <w:link w:val="10"/>
    <w:uiPriority w:val="99"/>
    <w:qFormat/>
    <w:rsid w:val="002C0F51"/>
    <w:pPr>
      <w:autoSpaceDE w:val="0"/>
      <w:autoSpaceDN w:val="0"/>
      <w:adjustRightInd w:val="0"/>
      <w:spacing w:before="108" w:after="108"/>
      <w:jc w:val="center"/>
      <w:outlineLvl w:val="0"/>
    </w:pPr>
    <w:rPr>
      <w:rFonts w:ascii="Arial" w:eastAsiaTheme="minorEastAsia" w:hAnsi="Arial" w:cs="Arial"/>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0762"/>
    <w:rPr>
      <w:color w:val="0066CC"/>
      <w:u w:val="single"/>
    </w:rPr>
  </w:style>
  <w:style w:type="character" w:customStyle="1" w:styleId="3">
    <w:name w:val="Основной текст (3)_"/>
    <w:basedOn w:val="a0"/>
    <w:link w:val="30"/>
    <w:rsid w:val="005F0762"/>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sid w:val="005F0762"/>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sid w:val="005F0762"/>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rsid w:val="005F0762"/>
    <w:rPr>
      <w:b w:val="0"/>
      <w:bCs w:val="0"/>
      <w:i w:val="0"/>
      <w:iCs w:val="0"/>
      <w:smallCaps w:val="0"/>
      <w:strike w:val="0"/>
      <w:sz w:val="18"/>
      <w:szCs w:val="18"/>
      <w:u w:val="none"/>
    </w:rPr>
  </w:style>
  <w:style w:type="paragraph" w:customStyle="1" w:styleId="30">
    <w:name w:val="Основной текст (3)"/>
    <w:basedOn w:val="a"/>
    <w:link w:val="3"/>
    <w:rsid w:val="005F0762"/>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rsid w:val="005F0762"/>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rsid w:val="005F0762"/>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paragraph" w:styleId="aa">
    <w:name w:val="No Spacing"/>
    <w:uiPriority w:val="1"/>
    <w:qFormat/>
    <w:rsid w:val="00244715"/>
    <w:pPr>
      <w:widowControl/>
    </w:pPr>
    <w:rPr>
      <w:rFonts w:asciiTheme="minorHAnsi" w:eastAsiaTheme="minorHAnsi" w:hAnsiTheme="minorHAnsi" w:cstheme="minorBidi"/>
      <w:sz w:val="22"/>
      <w:szCs w:val="22"/>
      <w:lang w:eastAsia="en-US" w:bidi="ar-SA"/>
    </w:rPr>
  </w:style>
  <w:style w:type="character" w:customStyle="1" w:styleId="10">
    <w:name w:val="Заголовок 1 Знак"/>
    <w:basedOn w:val="a0"/>
    <w:link w:val="1"/>
    <w:uiPriority w:val="99"/>
    <w:rsid w:val="002C0F51"/>
    <w:rPr>
      <w:rFonts w:ascii="Arial" w:eastAsiaTheme="minorEastAsia" w:hAnsi="Arial" w:cs="Arial"/>
      <w:b/>
      <w:bCs/>
      <w:color w:val="26282F"/>
      <w:lang w:bidi="ar-SA"/>
    </w:rPr>
  </w:style>
  <w:style w:type="character" w:customStyle="1" w:styleId="ab">
    <w:name w:val="Цветовое выделение"/>
    <w:uiPriority w:val="99"/>
    <w:rsid w:val="002C0F51"/>
    <w:rPr>
      <w:b/>
      <w:color w:val="26282F"/>
    </w:rPr>
  </w:style>
  <w:style w:type="character" w:customStyle="1" w:styleId="ac">
    <w:name w:val="Гипертекстовая ссылка"/>
    <w:basedOn w:val="ab"/>
    <w:uiPriority w:val="99"/>
    <w:rsid w:val="002C0F51"/>
    <w:rPr>
      <w:rFonts w:cs="Times New Roman"/>
      <w:b/>
      <w:color w:val="106BBE"/>
    </w:rPr>
  </w:style>
  <w:style w:type="paragraph" w:customStyle="1" w:styleId="ad">
    <w:name w:val="Нормальный (таблица)"/>
    <w:basedOn w:val="a"/>
    <w:next w:val="a"/>
    <w:uiPriority w:val="99"/>
    <w:rsid w:val="002C0F51"/>
    <w:pPr>
      <w:autoSpaceDE w:val="0"/>
      <w:autoSpaceDN w:val="0"/>
      <w:adjustRightInd w:val="0"/>
      <w:jc w:val="both"/>
    </w:pPr>
    <w:rPr>
      <w:rFonts w:ascii="Arial" w:eastAsiaTheme="minorEastAsia" w:hAnsi="Arial" w:cs="Arial"/>
      <w:color w:val="auto"/>
      <w:lang w:bidi="ar-SA"/>
    </w:rPr>
  </w:style>
  <w:style w:type="paragraph" w:customStyle="1" w:styleId="ae">
    <w:name w:val="Прижатый влево"/>
    <w:basedOn w:val="a"/>
    <w:next w:val="a"/>
    <w:uiPriority w:val="99"/>
    <w:rsid w:val="002C0F51"/>
    <w:pPr>
      <w:autoSpaceDE w:val="0"/>
      <w:autoSpaceDN w:val="0"/>
      <w:adjustRightInd w:val="0"/>
    </w:pPr>
    <w:rPr>
      <w:rFonts w:ascii="Arial" w:eastAsiaTheme="minorEastAsia" w:hAnsi="Arial" w:cs="Arial"/>
      <w:color w:val="auto"/>
      <w:lang w:bidi="ar-SA"/>
    </w:rPr>
  </w:style>
  <w:style w:type="character" w:customStyle="1" w:styleId="af">
    <w:name w:val="Цветовое выделение для Текст"/>
    <w:uiPriority w:val="99"/>
    <w:rsid w:val="002C0F51"/>
  </w:style>
  <w:style w:type="table" w:styleId="af0">
    <w:name w:val="Table Grid"/>
    <w:basedOn w:val="a1"/>
    <w:uiPriority w:val="59"/>
    <w:rsid w:val="002C0F51"/>
    <w:pPr>
      <w:widowControl/>
    </w:pPr>
    <w:rPr>
      <w:rFonts w:asciiTheme="minorHAnsi" w:eastAsiaTheme="minorEastAsia" w:hAnsiTheme="minorHAnsi" w:cs="Times New Roman"/>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2C0F51"/>
    <w:pPr>
      <w:autoSpaceDE w:val="0"/>
      <w:autoSpaceDN w:val="0"/>
    </w:pPr>
    <w:rPr>
      <w:rFonts w:ascii="Times New Roman" w:eastAsiaTheme="minorEastAsia" w:hAnsi="Times New Roman" w:cs="Times New Roman"/>
      <w:sz w:val="28"/>
      <w:szCs w:val="20"/>
      <w:lang w:bidi="ar-SA"/>
    </w:rPr>
  </w:style>
  <w:style w:type="character" w:customStyle="1" w:styleId="UnresolvedMention">
    <w:name w:val="Unresolved Mention"/>
    <w:basedOn w:val="a0"/>
    <w:uiPriority w:val="99"/>
    <w:semiHidden/>
    <w:unhideWhenUsed/>
    <w:rsid w:val="00F40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garantF1://70511024.1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7032949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tatar.ru/v_gora/vgo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329494.1004" TargetMode="External"/><Relationship Id="rId5" Type="http://schemas.openxmlformats.org/officeDocument/2006/relationships/footnotes" Target="footnotes.xml"/><Relationship Id="rId15" Type="http://schemas.openxmlformats.org/officeDocument/2006/relationships/hyperlink" Target="garantF1://70191362.0" TargetMode="External"/><Relationship Id="rId10" Type="http://schemas.openxmlformats.org/officeDocument/2006/relationships/hyperlink" Target="mailto:biektau@tatar.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garantF1://70511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9075</Words>
  <Characters>51728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 Димитриевич</dc:creator>
  <cp:lastModifiedBy>Пользователь Windows</cp:lastModifiedBy>
  <cp:revision>2</cp:revision>
  <cp:lastPrinted>2019-01-11T06:01:00Z</cp:lastPrinted>
  <dcterms:created xsi:type="dcterms:W3CDTF">2019-03-13T07:20:00Z</dcterms:created>
  <dcterms:modified xsi:type="dcterms:W3CDTF">2019-03-13T07:20:00Z</dcterms:modified>
</cp:coreProperties>
</file>