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0BB8" w:rsidRDefault="00DC0BB8" w:rsidP="00DC0BB8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Pr="00221590" w:rsidRDefault="00221590" w:rsidP="00DC0BB8">
      <w:pPr>
        <w:tabs>
          <w:tab w:val="left" w:pos="4536"/>
        </w:tabs>
        <w:spacing w:after="0" w:line="240" w:lineRule="auto"/>
        <w:ind w:right="44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Церковь </w:t>
      </w:r>
      <w:r w:rsidR="00A8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Спасская, 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1793 г., 1868 гг.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041F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Алекесеевский</w:t>
      </w:r>
      <w:proofErr w:type="spellEnd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араваево</w:t>
      </w:r>
      <w:proofErr w:type="spellEnd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ул.Солнечная</w:t>
      </w:r>
      <w:proofErr w:type="spellEnd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д.101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единый государственный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694BC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215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и режимов использования территор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объекта культурного наследия</w:t>
      </w:r>
    </w:p>
    <w:p w:rsidR="00221590" w:rsidRDefault="00221590" w:rsidP="00221590">
      <w:pPr>
        <w:jc w:val="both"/>
      </w:pPr>
    </w:p>
    <w:p w:rsidR="00DC0BB8" w:rsidRDefault="00DC0BB8" w:rsidP="00221590">
      <w:pPr>
        <w:jc w:val="both"/>
      </w:pPr>
    </w:p>
    <w:p w:rsidR="00221590" w:rsidRPr="00221590" w:rsidRDefault="00221590" w:rsidP="00DC0BB8">
      <w:pPr>
        <w:spacing w:after="0" w:line="240" w:lineRule="auto"/>
        <w:ind w:right="-30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 60-ЗРТ «Об объектах культурного наследия в Республике Татарстан», постановлением Кабинета Министров Республики Татарстан от 10.06.2016 </w:t>
      </w:r>
      <w:r w:rsidR="00DC0B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393 «Об утверждении Положения о порядке принятия решения о включении объекта культурного наследия регионального значения</w:t>
      </w:r>
      <w:proofErr w:type="gramEnd"/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Федерации», положительным заключением государственной историко-культурной экспертизы от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7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83A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E2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EE7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</w:t>
      </w:r>
      <w:r w:rsidRPr="0022159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52E03" w:rsidRPr="00B52E03" w:rsidRDefault="00221590" w:rsidP="00694BC7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Включить выявленный объект культурного наследия </w:t>
      </w:r>
      <w:r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 w:rsidRPr="002215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по адресу: Республика Татарстан, </w:t>
      </w:r>
      <w:proofErr w:type="spellStart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Алекесеевский</w:t>
      </w:r>
      <w:proofErr w:type="spellEnd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район, </w:t>
      </w:r>
      <w:proofErr w:type="spellStart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Start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.К</w:t>
      </w:r>
      <w:proofErr w:type="gramEnd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араваево</w:t>
      </w:r>
      <w:proofErr w:type="spellEnd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ул.Солнечная</w:t>
      </w:r>
      <w:proofErr w:type="spellEnd"/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д.101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A83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границы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7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P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режим использования территории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137A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</w:t>
      </w:r>
      <w:r w:rsidR="0004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21590" w:rsidRDefault="00221590" w:rsidP="00B52E03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-306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221590" w:rsidP="002215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1590" w:rsidRDefault="00DC0BB8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И.Н.Гущин</w:t>
      </w:r>
      <w:proofErr w:type="spellEnd"/>
      <w:r w:rsid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 xml:space="preserve">Приложение № </w:t>
      </w:r>
      <w:r w:rsidR="00041F31">
        <w:rPr>
          <w:color w:val="000000"/>
          <w:sz w:val="28"/>
          <w:szCs w:val="28"/>
        </w:rPr>
        <w:t>1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объектов культурного наследия</w:t>
      </w:r>
    </w:p>
    <w:p w:rsidR="00E35469" w:rsidRPr="00E35469" w:rsidRDefault="00E35469" w:rsidP="00E35469">
      <w:pPr>
        <w:pStyle w:val="a3"/>
        <w:ind w:firstLine="4383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от__________2019 года № _____</w:t>
      </w:r>
    </w:p>
    <w:p w:rsidR="002615D4" w:rsidRDefault="002615D4" w:rsidP="002615D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Pr="00221590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469" w:rsidRDefault="002615D4" w:rsidP="005313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15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 (схема) границ территории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615D4" w:rsidRDefault="002615D4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077C73" w:rsidP="002615D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01429" cy="5887007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818" cy="5888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15D4" w:rsidRDefault="005313C6" w:rsidP="00B35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1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«№» характерной (поворотной) точки границы территории</w:t>
      </w:r>
      <w:r w:rsidR="002615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240B4A" w:rsidRPr="00240B4A" w:rsidRDefault="00240B4A" w:rsidP="00E3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поворотных точек</w:t>
      </w:r>
    </w:p>
    <w:p w:rsidR="00240B4A" w:rsidRDefault="00240B4A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E35469" w:rsidRDefault="00E35469" w:rsidP="00E35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Ind w:w="-39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5"/>
        <w:gridCol w:w="2835"/>
        <w:gridCol w:w="2410"/>
        <w:gridCol w:w="2410"/>
        <w:gridCol w:w="2410"/>
      </w:tblGrid>
      <w:tr w:rsidR="00041F31" w:rsidRPr="00240B4A" w:rsidTr="000B76D9">
        <w:trPr>
          <w:trHeight w:val="322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331E95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Система координат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МСК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Координаты точки в системе WGS-84</w:t>
            </w:r>
          </w:p>
        </w:tc>
      </w:tr>
      <w:tr w:rsidR="00041F31" w:rsidRPr="00240B4A" w:rsidTr="00D66477">
        <w:trPr>
          <w:trHeight w:val="322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40B4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Северная</w:t>
            </w:r>
            <w:proofErr w:type="spellEnd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1F31" w:rsidRPr="00041F31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Восточная</w:t>
            </w:r>
            <w:proofErr w:type="spellEnd"/>
          </w:p>
          <w:p w:rsidR="00041F31" w:rsidRPr="00240B4A" w:rsidRDefault="00041F31" w:rsidP="00041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 w:rsidRPr="00041F3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широта</w:t>
            </w:r>
            <w:proofErr w:type="spellEnd"/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398892.08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1351955.65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55°05'44,94187"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49°50'49,74458"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77C73" w:rsidP="00B35F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398922.47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1351970.74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55°05'45,91881"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49°50'50,61536"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398934.68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1351999.23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55°05'46,30287"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49°50'52,22975"</w:t>
            </w:r>
          </w:p>
        </w:tc>
      </w:tr>
      <w:tr w:rsidR="00041F31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41F31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41F31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398920.92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1352010.68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55°05'45,85364"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1F31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49°50'52,86630"</w:t>
            </w:r>
          </w:p>
        </w:tc>
      </w:tr>
      <w:tr w:rsidR="00077C73" w:rsidRPr="00240B4A" w:rsidTr="00D66477">
        <w:trPr>
          <w:trHeight w:val="254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7C73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77C73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398876.92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Pr="00240B4A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1351987.05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55°05'44,43986"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77C73" w:rsidRDefault="00077C73" w:rsidP="00240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49°50'51,50504"</w:t>
            </w:r>
          </w:p>
        </w:tc>
      </w:tr>
    </w:tbl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2FF0" w:rsidRPr="00240B4A" w:rsidRDefault="00C92FF0" w:rsidP="00C92F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Описание </w:t>
      </w:r>
    </w:p>
    <w:p w:rsidR="00C92FF0" w:rsidRDefault="00C92FF0" w:rsidP="00C92F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40B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границы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Граница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94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694BC7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проходит:</w:t>
      </w:r>
    </w:p>
    <w:p w:rsidR="00C92FF0" w:rsidRDefault="00C92FF0" w:rsidP="00C92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83AB0" w:rsidRPr="00A83AB0" w:rsidRDefault="00A83AB0" w:rsidP="00A83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B0">
        <w:rPr>
          <w:rFonts w:ascii="Times New Roman" w:hAnsi="Times New Roman" w:cs="Times New Roman"/>
          <w:b/>
          <w:bCs/>
          <w:sz w:val="28"/>
          <w:szCs w:val="28"/>
        </w:rPr>
        <w:t xml:space="preserve">юго-западная часть: </w:t>
      </w:r>
      <w:r w:rsidRPr="00A83AB0">
        <w:rPr>
          <w:rFonts w:ascii="Times New Roman" w:hAnsi="Times New Roman" w:cs="Times New Roman"/>
          <w:sz w:val="28"/>
          <w:szCs w:val="28"/>
        </w:rPr>
        <w:t>параллельно поселковой дороге в северо-западном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AB0">
        <w:rPr>
          <w:rFonts w:ascii="Times New Roman" w:hAnsi="Times New Roman" w:cs="Times New Roman"/>
          <w:sz w:val="28"/>
          <w:szCs w:val="28"/>
        </w:rPr>
        <w:t>направлении и параллельно зданию церкви (поворотные точки 4-1);</w:t>
      </w:r>
    </w:p>
    <w:p w:rsidR="00A83AB0" w:rsidRPr="00A83AB0" w:rsidRDefault="00A83AB0" w:rsidP="00A83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B0">
        <w:rPr>
          <w:rFonts w:ascii="Times New Roman" w:hAnsi="Times New Roman" w:cs="Times New Roman"/>
          <w:b/>
          <w:bCs/>
          <w:sz w:val="28"/>
          <w:szCs w:val="28"/>
        </w:rPr>
        <w:t>северо-западная часть</w:t>
      </w:r>
      <w:r w:rsidRPr="00A83AB0">
        <w:rPr>
          <w:rFonts w:ascii="Times New Roman" w:hAnsi="Times New Roman" w:cs="Times New Roman"/>
          <w:sz w:val="28"/>
          <w:szCs w:val="28"/>
        </w:rPr>
        <w:t>: параллельно зданию церкви (поворотные точки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AB0">
        <w:rPr>
          <w:rFonts w:ascii="Times New Roman" w:hAnsi="Times New Roman" w:cs="Times New Roman"/>
          <w:sz w:val="28"/>
          <w:szCs w:val="28"/>
        </w:rPr>
        <w:t>1-2);</w:t>
      </w:r>
    </w:p>
    <w:p w:rsidR="00A83AB0" w:rsidRPr="00A83AB0" w:rsidRDefault="00A83AB0" w:rsidP="00A83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AB0">
        <w:rPr>
          <w:rFonts w:ascii="Times New Roman" w:hAnsi="Times New Roman" w:cs="Times New Roman"/>
          <w:b/>
          <w:bCs/>
          <w:sz w:val="28"/>
          <w:szCs w:val="28"/>
        </w:rPr>
        <w:t>северо-восточная часть</w:t>
      </w:r>
      <w:r w:rsidRPr="00A83AB0">
        <w:rPr>
          <w:rFonts w:ascii="Times New Roman" w:hAnsi="Times New Roman" w:cs="Times New Roman"/>
          <w:sz w:val="28"/>
          <w:szCs w:val="28"/>
        </w:rPr>
        <w:t>: параллельно зданию церкви (поворотные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AB0">
        <w:rPr>
          <w:rFonts w:ascii="Times New Roman" w:hAnsi="Times New Roman" w:cs="Times New Roman"/>
          <w:sz w:val="28"/>
          <w:szCs w:val="28"/>
        </w:rPr>
        <w:t>точки 2-3);</w:t>
      </w:r>
    </w:p>
    <w:p w:rsidR="005313C6" w:rsidRPr="00A83AB0" w:rsidRDefault="00A83AB0" w:rsidP="00A83A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3AB0">
        <w:rPr>
          <w:rFonts w:ascii="Times New Roman" w:hAnsi="Times New Roman" w:cs="Times New Roman"/>
          <w:b/>
          <w:bCs/>
          <w:sz w:val="28"/>
          <w:szCs w:val="28"/>
        </w:rPr>
        <w:t>юго-восточная часть</w:t>
      </w:r>
      <w:r w:rsidRPr="00A83AB0">
        <w:rPr>
          <w:rFonts w:ascii="Times New Roman" w:hAnsi="Times New Roman" w:cs="Times New Roman"/>
          <w:sz w:val="28"/>
          <w:szCs w:val="28"/>
        </w:rPr>
        <w:t>: параллельно поселковой дороге и параллельно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AB0">
        <w:rPr>
          <w:rFonts w:ascii="Times New Roman" w:hAnsi="Times New Roman" w:cs="Times New Roman"/>
          <w:sz w:val="28"/>
          <w:szCs w:val="28"/>
        </w:rPr>
        <w:t>зданию церкви (поворотные точки 3-4).</w:t>
      </w: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3C6" w:rsidRDefault="005313C6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3AB0" w:rsidRDefault="00A83AB0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073E" w:rsidRDefault="000D073E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4BC7" w:rsidRDefault="00694BC7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CFB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469" w:rsidRDefault="00BC2CFB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2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приказу Комитета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 по охране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объектов культурного наследия</w:t>
      </w:r>
    </w:p>
    <w:p w:rsidR="00E35469" w:rsidRDefault="00E35469" w:rsidP="00E35469">
      <w:pPr>
        <w:spacing w:after="0" w:line="240" w:lineRule="auto"/>
        <w:ind w:firstLine="5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от__________2019 года № _____</w:t>
      </w:r>
    </w:p>
    <w:p w:rsidR="000A76E4" w:rsidRDefault="000A76E4" w:rsidP="000A76E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Pr="00E35469" w:rsidRDefault="000A76E4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Режим </w:t>
      </w:r>
      <w:proofErr w:type="gramStart"/>
      <w:r w:rsidRPr="00E3546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использовании</w:t>
      </w:r>
      <w:proofErr w:type="gramEnd"/>
    </w:p>
    <w:p w:rsidR="00E35469" w:rsidRPr="000A76E4" w:rsidRDefault="00E35469" w:rsidP="000A76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76E4" w:rsidRDefault="000A76E4" w:rsidP="00BC2C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240B4A" w:rsidRDefault="00240B4A" w:rsidP="00240B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A76E4" w:rsidRDefault="000A76E4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разрешается:</w:t>
      </w:r>
    </w:p>
    <w:p w:rsidR="000A76E4" w:rsidRDefault="000A76E4" w:rsidP="000A76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основании задания на проведение указанных работ, разрешения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указанных работ, выданных региональным органом охраны объектов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наследия, проектной документации на проведение работ по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сохранению объекта культурного наследия, согласованной региональным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органом охраны объектов культурного наследия, а также при условии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осуществления технического, авторского надзора и государственного надзора 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области охраны объектов культурного наследия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 их проведением. В случае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если при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проведении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 по сохранению объекта культурного наследия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затрагиваются конструктивные и другие характеристики надежности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безопасности объекта, указанные работы проводятся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требованиями Федерального закона от 25 июня 2002 г. № 73-Ф3 "Об объектах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культурного наследия (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памятниках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истории и культуры) народов Российской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Федерации" (далее – Федеральный закон) и Градостроительного кодекса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проведение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случаях, предусмотренных Федеральным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законом, изыскательных, проектных, земляных, мелиоративных, хозяйственных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иных работ, в том числе: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снос диссонирующих объектов (поздние пристройки);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озеленение и благоустройство территории, ведение приусадебного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хозяйства;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прокладка и реконструкция дорожных и инженерных коммуникаций, не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нарушающие целостность объекта культурного наследия и не создающие угрозы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его повреждения, разрушения или уничтожения, угрозы пожара;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проведение археологических полевых работ;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ведение хозяйственной деятельности, не противоречащей требованиям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обеспечения сохранности объекта культурного наследия и позволяющей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обеспечить функционирование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современных</w:t>
      </w:r>
      <w:proofErr w:type="gramEnd"/>
    </w:p>
    <w:p w:rsidR="004F252E" w:rsidRPr="004F252E" w:rsidRDefault="00876C75" w:rsidP="00BC2C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83117" w:rsidRDefault="00383117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объекта культурного наследия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6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876C75"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4F25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запрещается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F252E" w:rsidRDefault="004F252E" w:rsidP="00E354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строительство объектов капитального 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увеличение объемно-пространственных характеристик существующих 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территории объекта культурного наследия объектов капитального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строительства;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искажение традиционных характеристик эволюционно сложившейся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композиции застройки исторического владения;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изменение характеристик городского и природного ландшафта,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композиционно связанного с объектом культурного наследия.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Default="00876C75" w:rsidP="00876C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границах территории 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221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 «</w:t>
      </w:r>
      <w:r w:rsidR="00077C73" w:rsidRP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Церковь Спасская, 1793 г., 1868 гг.</w:t>
      </w:r>
      <w:r w:rsidR="00077C7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0A7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обеспечивается</w:t>
      </w:r>
      <w:r w:rsidRPr="000A7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запрет или ограничение движения транспортных средств,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случае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если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движение транспортных средств создает угрозу нарушения целостности 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сохранности объекта культурного наследия;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доступность объекта культурного наследия в </w:t>
      </w:r>
      <w:proofErr w:type="gramStart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целях</w:t>
      </w:r>
      <w:proofErr w:type="gramEnd"/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его экспонирования,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сохранения его традиционного визуального восприятия с основных видовых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точек и смотровых площадок;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пожарной безопасности;</w:t>
      </w:r>
    </w:p>
    <w:p w:rsidR="00876C75" w:rsidRPr="00876C75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реализация мер экологической безопасности;</w:t>
      </w:r>
    </w:p>
    <w:p w:rsidR="0070203B" w:rsidRDefault="00876C75" w:rsidP="00876C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76C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защита объекта культурного наследия от динамических воздействий.</w:t>
      </w: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0203B" w:rsidRDefault="0070203B" w:rsidP="004F25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0203B" w:rsidSect="00E35469">
      <w:pgSz w:w="11909" w:h="16834"/>
      <w:pgMar w:top="1135" w:right="994" w:bottom="1135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A4580D"/>
    <w:multiLevelType w:val="hybridMultilevel"/>
    <w:tmpl w:val="531E38BE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51E07"/>
    <w:multiLevelType w:val="hybridMultilevel"/>
    <w:tmpl w:val="67FCC114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C2405"/>
    <w:multiLevelType w:val="hybridMultilevel"/>
    <w:tmpl w:val="34E0EAF2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131AD"/>
    <w:multiLevelType w:val="hybridMultilevel"/>
    <w:tmpl w:val="F5A667DC"/>
    <w:lvl w:ilvl="0" w:tplc="7ADCDB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023C0"/>
    <w:multiLevelType w:val="hybridMultilevel"/>
    <w:tmpl w:val="656073C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3476EAB"/>
    <w:multiLevelType w:val="hybridMultilevel"/>
    <w:tmpl w:val="B73611B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6674219"/>
    <w:multiLevelType w:val="hybridMultilevel"/>
    <w:tmpl w:val="0D66873A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907440"/>
    <w:multiLevelType w:val="hybridMultilevel"/>
    <w:tmpl w:val="154A377C"/>
    <w:lvl w:ilvl="0" w:tplc="953E19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77D3E"/>
    <w:multiLevelType w:val="hybridMultilevel"/>
    <w:tmpl w:val="F1C24F88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72757F4"/>
    <w:multiLevelType w:val="hybridMultilevel"/>
    <w:tmpl w:val="C422FD00"/>
    <w:lvl w:ilvl="0" w:tplc="7ADCDB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F6473C1"/>
    <w:multiLevelType w:val="hybridMultilevel"/>
    <w:tmpl w:val="044C1F58"/>
    <w:lvl w:ilvl="0" w:tplc="308E1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590"/>
    <w:rsid w:val="00041F31"/>
    <w:rsid w:val="00077C73"/>
    <w:rsid w:val="000A76E4"/>
    <w:rsid w:val="000D073E"/>
    <w:rsid w:val="00137AFF"/>
    <w:rsid w:val="001E290E"/>
    <w:rsid w:val="00221590"/>
    <w:rsid w:val="00240B4A"/>
    <w:rsid w:val="002615D4"/>
    <w:rsid w:val="00331E95"/>
    <w:rsid w:val="00383117"/>
    <w:rsid w:val="004F252E"/>
    <w:rsid w:val="005313C6"/>
    <w:rsid w:val="00673086"/>
    <w:rsid w:val="00694BC7"/>
    <w:rsid w:val="006D5F82"/>
    <w:rsid w:val="0070203B"/>
    <w:rsid w:val="0074716D"/>
    <w:rsid w:val="007620DF"/>
    <w:rsid w:val="007D22E9"/>
    <w:rsid w:val="00876C75"/>
    <w:rsid w:val="008B522D"/>
    <w:rsid w:val="00A40CF5"/>
    <w:rsid w:val="00A63BD3"/>
    <w:rsid w:val="00A72AB5"/>
    <w:rsid w:val="00A83AB0"/>
    <w:rsid w:val="00B05746"/>
    <w:rsid w:val="00B07683"/>
    <w:rsid w:val="00B12C4E"/>
    <w:rsid w:val="00B35F24"/>
    <w:rsid w:val="00B52E03"/>
    <w:rsid w:val="00BC2CFB"/>
    <w:rsid w:val="00BC504F"/>
    <w:rsid w:val="00C92FF0"/>
    <w:rsid w:val="00CC2346"/>
    <w:rsid w:val="00CF7C75"/>
    <w:rsid w:val="00DC0BB8"/>
    <w:rsid w:val="00E10012"/>
    <w:rsid w:val="00E35469"/>
    <w:rsid w:val="00EE710B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5D4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4559-1984-4E0A-BE01-F8A4C4B1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1038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Альберт Р. Саляхов</cp:lastModifiedBy>
  <cp:revision>11</cp:revision>
  <cp:lastPrinted>2019-06-14T13:01:00Z</cp:lastPrinted>
  <dcterms:created xsi:type="dcterms:W3CDTF">2019-06-21T07:43:00Z</dcterms:created>
  <dcterms:modified xsi:type="dcterms:W3CDTF">2019-07-27T07:34:00Z</dcterms:modified>
</cp:coreProperties>
</file>