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1761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азяково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Федина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1761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1761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041F31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азяково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с.Войкино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041F31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8883" cy="5676405"/>
            <wp:effectExtent l="0" t="0" r="762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667" cy="568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403236.22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1344267.22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55°08'08,08985"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49°43'38,67181"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403238.30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1344312.46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55°08'08,14256"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49°43'41,22635"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403188.71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1344314.54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55°08'06,53842"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49°43'41,31590"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403187.44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1344269.03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55°08'06,51199"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49°43'38,74660"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1F31" w:rsidRPr="00041F31" w:rsidRDefault="00041F31" w:rsidP="0004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31">
        <w:rPr>
          <w:rFonts w:ascii="Times New Roman" w:hAnsi="Times New Roman" w:cs="Times New Roman"/>
          <w:b/>
          <w:bCs/>
          <w:sz w:val="28"/>
          <w:szCs w:val="28"/>
        </w:rPr>
        <w:t>юго-западная часть</w:t>
      </w:r>
      <w:r w:rsidRPr="00041F31">
        <w:rPr>
          <w:rFonts w:ascii="Times New Roman" w:hAnsi="Times New Roman" w:cs="Times New Roman"/>
          <w:sz w:val="28"/>
          <w:szCs w:val="28"/>
        </w:rPr>
        <w:t>: вдоль поселковой дороги по существующей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041F31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 w:rsidRPr="00041F31">
        <w:rPr>
          <w:rFonts w:ascii="Times New Roman" w:hAnsi="Times New Roman" w:cs="Times New Roman"/>
          <w:sz w:val="28"/>
          <w:szCs w:val="28"/>
        </w:rPr>
        <w:t xml:space="preserve"> недвижимости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>(поворотные точки 4-1);</w:t>
      </w:r>
    </w:p>
    <w:p w:rsidR="00041F31" w:rsidRPr="00041F31" w:rsidRDefault="00041F31" w:rsidP="0004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31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041F31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041F31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1-2);</w:t>
      </w:r>
    </w:p>
    <w:p w:rsidR="00041F31" w:rsidRPr="00041F31" w:rsidRDefault="00041F31" w:rsidP="0004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F31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041F31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041F31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 (поворотные точки 2-3);</w:t>
      </w:r>
    </w:p>
    <w:p w:rsidR="005313C6" w:rsidRPr="00041F31" w:rsidRDefault="00041F31" w:rsidP="0004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F31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041F31">
        <w:rPr>
          <w:rFonts w:ascii="Times New Roman" w:hAnsi="Times New Roman" w:cs="Times New Roman"/>
          <w:sz w:val="28"/>
          <w:szCs w:val="28"/>
        </w:rPr>
        <w:t xml:space="preserve">: по существующей в государственном </w:t>
      </w:r>
      <w:proofErr w:type="gramStart"/>
      <w:r w:rsidRPr="00041F31">
        <w:rPr>
          <w:rFonts w:ascii="Times New Roman" w:hAnsi="Times New Roman" w:cs="Times New Roman"/>
          <w:sz w:val="28"/>
          <w:szCs w:val="28"/>
        </w:rPr>
        <w:t>кадастре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>недвижимости границе земельного участка, далее выходит к поселковой дороге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F31">
        <w:rPr>
          <w:rFonts w:ascii="Times New Roman" w:hAnsi="Times New Roman" w:cs="Times New Roman"/>
          <w:sz w:val="28"/>
          <w:szCs w:val="28"/>
        </w:rPr>
        <w:t>в юго-западном направлении (поворотные точки 3-4).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CFB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Тихвинско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-Богородицкая, (на территории церкви находятся надгробные плиты захоронений немецкой семьи </w:t>
      </w:r>
      <w:proofErr w:type="spellStart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Грубер</w:t>
      </w:r>
      <w:proofErr w:type="spellEnd"/>
      <w:r w:rsidR="00BC2C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)», 1761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B05746"/>
    <w:rsid w:val="00B07683"/>
    <w:rsid w:val="00B12C4E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9696-0B9F-4CDE-BC9A-6301E9AF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9</cp:revision>
  <cp:lastPrinted>2019-06-14T13:01:00Z</cp:lastPrinted>
  <dcterms:created xsi:type="dcterms:W3CDTF">2019-06-21T07:43:00Z</dcterms:created>
  <dcterms:modified xsi:type="dcterms:W3CDTF">2019-07-24T08:14:00Z</dcterms:modified>
</cp:coreProperties>
</file>