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2B5D99" w:rsidRPr="00917001" w:rsidTr="005828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Краснокадкинского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2B5D99" w:rsidRDefault="002B5D99" w:rsidP="00582881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B5D99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2B5D99" w:rsidRPr="00FA60CE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Верхние Челны,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2B5D99" w:rsidRPr="002F34A0" w:rsidRDefault="002B5D99" w:rsidP="00582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2B5D99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B5D99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2B5D99" w:rsidRPr="00FA60CE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2B5D99" w:rsidRPr="002F34A0" w:rsidRDefault="002B5D99" w:rsidP="00582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2B5D99" w:rsidRPr="00917001" w:rsidTr="00582881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5D99" w:rsidRPr="00CC7AC4" w:rsidRDefault="002B5D99" w:rsidP="005828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7" w:history="1">
              <w:r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2B5D99" w:rsidRDefault="002B5D99" w:rsidP="002B5D99">
      <w:pPr>
        <w:spacing w:after="0" w:line="240" w:lineRule="auto"/>
        <w:rPr>
          <w:lang w:val="tt-RU"/>
        </w:rPr>
      </w:pPr>
    </w:p>
    <w:p w:rsidR="002B5D99" w:rsidRDefault="002B5D99" w:rsidP="002B5D99">
      <w:pPr>
        <w:spacing w:after="0" w:line="240" w:lineRule="auto"/>
        <w:rPr>
          <w:lang w:val="tt-RU"/>
        </w:rPr>
      </w:pPr>
    </w:p>
    <w:p w:rsidR="002B5D99" w:rsidRPr="00FA60CE" w:rsidRDefault="002B5D99" w:rsidP="002B5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70468F" w:rsidRPr="00560DF8" w:rsidRDefault="0070468F" w:rsidP="007046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70468F" w:rsidRPr="00560DF8" w:rsidRDefault="0070468F" w:rsidP="007046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70468F" w:rsidRPr="002B5D99" w:rsidRDefault="0070468F" w:rsidP="002B5D9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5D99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</w:t>
      </w:r>
      <w:r w:rsidR="002B5D99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</w:t>
      </w:r>
    </w:p>
    <w:p w:rsidR="0070468F" w:rsidRPr="002B5D99" w:rsidRDefault="0070468F" w:rsidP="002B5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2B5D99" w:rsidRDefault="0053048C" w:rsidP="002B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B9D" w:rsidRPr="008E4A3B" w:rsidRDefault="00DC2B9D" w:rsidP="00DC2B9D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DC2B9D" w:rsidRPr="008E4A3B" w:rsidRDefault="00DC2B9D" w:rsidP="00DC2B9D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C2B9D" w:rsidRPr="008E4A3B" w:rsidRDefault="00DC2B9D" w:rsidP="00DC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C2B9D" w:rsidRPr="008E4A3B" w:rsidRDefault="00DC2B9D" w:rsidP="00DC2B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="00F97BF9">
        <w:rPr>
          <w:rFonts w:ascii="Times New Roman" w:eastAsia="Times New Roman" w:hAnsi="Times New Roman" w:cs="Times New Roman"/>
          <w:sz w:val="27"/>
          <w:szCs w:val="27"/>
        </w:rPr>
        <w:t>раснокадкинского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41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="00F97BF9">
        <w:rPr>
          <w:rFonts w:ascii="Times New Roman" w:eastAsia="Times New Roman" w:hAnsi="Times New Roman" w:cs="Times New Roman"/>
          <w:sz w:val="27"/>
          <w:szCs w:val="27"/>
        </w:rPr>
        <w:t>раснокадкинского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560DF8" w:rsidRPr="002B5D99" w:rsidRDefault="00560DF8" w:rsidP="002B5D99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5701FB" w:rsidRPr="002B5D99" w:rsidRDefault="005701FB" w:rsidP="002B5D99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F22B40" w:rsidRPr="002B5D99" w:rsidRDefault="001B2C70" w:rsidP="002B5D99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2B5D99">
        <w:rPr>
          <w:rFonts w:ascii="Times New Roman" w:hAnsi="Times New Roman" w:cs="Times New Roman"/>
          <w:sz w:val="28"/>
          <w:szCs w:val="28"/>
        </w:rPr>
        <w:t>Б.В</w:t>
      </w:r>
      <w:r w:rsidR="000E44AF" w:rsidRPr="002B5D99">
        <w:rPr>
          <w:rFonts w:ascii="Times New Roman" w:hAnsi="Times New Roman" w:cs="Times New Roman"/>
          <w:sz w:val="28"/>
          <w:szCs w:val="28"/>
        </w:rPr>
        <w:t>.</w:t>
      </w:r>
      <w:r w:rsidRPr="002B5D99">
        <w:rPr>
          <w:rFonts w:ascii="Times New Roman" w:hAnsi="Times New Roman" w:cs="Times New Roman"/>
          <w:sz w:val="28"/>
          <w:szCs w:val="28"/>
        </w:rPr>
        <w:t>Ильдарханов</w:t>
      </w:r>
    </w:p>
    <w:p w:rsidR="00560DF8" w:rsidRDefault="00560DF8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B9D" w:rsidRDefault="00DC2B9D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B9D" w:rsidRDefault="00DC2B9D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2B5D99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2B5D99" w:rsidRDefault="0053048C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2B5D99" w:rsidRDefault="0053048C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970DB2" w:rsidRDefault="0053048C" w:rsidP="002B5D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5701FB" w:rsidRPr="002B5D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46635B" w:rsidRPr="002B5D99">
        <w:rPr>
          <w:rFonts w:ascii="Times New Roman" w:eastAsia="Times New Roman" w:hAnsi="Times New Roman" w:cs="Times New Roman"/>
          <w:sz w:val="24"/>
          <w:szCs w:val="24"/>
        </w:rPr>
        <w:t>Краснокадкинского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</w:t>
      </w:r>
    </w:p>
    <w:p w:rsidR="00970DB2" w:rsidRDefault="0053048C" w:rsidP="002B5D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53048C" w:rsidRPr="002B5D99" w:rsidRDefault="0053048C" w:rsidP="002B5D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0468F" w:rsidRPr="002B5D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B398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468F" w:rsidRPr="002B5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6B398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6B398B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Default="0053048C" w:rsidP="002B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D99" w:rsidRPr="002B5D99" w:rsidRDefault="002B5D99" w:rsidP="002B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Pr="002B5D99" w:rsidRDefault="0053048C" w:rsidP="002B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6B398B" w:rsidRDefault="006B398B" w:rsidP="006B398B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6B398B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Верхние Челны, ул. Молодежная, д.13.</w:t>
      </w:r>
    </w:p>
    <w:p w:rsidR="006B398B" w:rsidRPr="006B398B" w:rsidRDefault="006B398B" w:rsidP="006B398B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6B398B" w:rsidRPr="006B398B" w:rsidTr="00582881">
        <w:tc>
          <w:tcPr>
            <w:tcW w:w="4962" w:type="dxa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44-50-20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1.3.2. Адрес официального 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Краснокадкинского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krasnokadkinskoe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hyperlink r:id="rId8" w:history="1"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krkadka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sp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 посредством сети «Интернет» на официальном сайте К</w:t>
      </w:r>
      <w:r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krasnokadkinskoe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/)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B398B" w:rsidRPr="006B398B" w:rsidRDefault="006B398B" w:rsidP="006B398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1.3.4. Информация по вопросам предоставления муниципальной услуги размещается Исполкомом на официальном сайте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6B398B" w:rsidRPr="006B398B" w:rsidRDefault="006B398B" w:rsidP="006B3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6B398B" w:rsidRPr="006B398B" w:rsidRDefault="006B398B" w:rsidP="006B3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98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002D9B" w:rsidRPr="00002D9B" w:rsidRDefault="00002D9B" w:rsidP="00002D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D9B">
        <w:rPr>
          <w:rFonts w:ascii="Times New Roman" w:eastAsia="Times New Roman" w:hAnsi="Times New Roman" w:cs="Times New Roman"/>
          <w:sz w:val="28"/>
          <w:szCs w:val="28"/>
        </w:rPr>
        <w:t>Федеральный закон от 13.07.2015 N 218-ФЗ «О государственной регистрации недвижимости» (Российская газета", 17.07.2015, N 156) (далее – 218-ФЗ);</w:t>
      </w:r>
    </w:p>
    <w:p w:rsidR="00002D9B" w:rsidRPr="00002D9B" w:rsidRDefault="00002D9B" w:rsidP="00002D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D9B">
        <w:rPr>
          <w:rFonts w:ascii="Times New Roman" w:eastAsia="Times New Roman" w:hAnsi="Times New Roman" w:cs="Times New Roman"/>
          <w:sz w:val="28"/>
          <w:szCs w:val="28"/>
        </w:rPr>
        <w:t>Федеральный закон от 24.11.1995 N 181-ФЗ "О социальной защите инвалидов в Российской Федерации"("Собрание законодательства РФ", 27.11.1995, N 48, ст. 4563) (далее – 181-ФЗ);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98B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6B398B" w:rsidRPr="006B398B" w:rsidRDefault="006B398B" w:rsidP="006B39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6B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«К</w:t>
      </w:r>
      <w:r>
        <w:rPr>
          <w:rFonts w:ascii="Times New Roman" w:eastAsia="Times New Roman" w:hAnsi="Times New Roman" w:cs="Times New Roman"/>
          <w:sz w:val="28"/>
          <w:szCs w:val="28"/>
        </w:rPr>
        <w:t>раснокадкинское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К</w:t>
      </w:r>
      <w:r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 w:rsidR="008A75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6B398B" w:rsidRPr="006B398B" w:rsidRDefault="006B398B" w:rsidP="006B398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6B398B" w:rsidRPr="006B398B" w:rsidRDefault="006B398B" w:rsidP="006B398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B398B" w:rsidRPr="006B398B" w:rsidSect="00582881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9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210-ФЗ, Устав сельского поселения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9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210-ФЗ, Устав сельского поселения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002D9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9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тариате, 218-ФЗ, 74-ФЗ, 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6B398B" w:rsidRPr="006B398B" w:rsidRDefault="006B398B" w:rsidP="006B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D9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6B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6B398B" w:rsidRPr="006B398B" w:rsidRDefault="006B398B" w:rsidP="006B398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6B398B" w:rsidRPr="006B398B" w:rsidRDefault="006B398B" w:rsidP="006B398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6B398B" w:rsidRPr="006B398B" w:rsidRDefault="006B398B" w:rsidP="006B398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002D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6B398B" w:rsidRPr="006B398B" w:rsidRDefault="006B398B" w:rsidP="006B398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002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Российской Федерации).</w:t>
            </w:r>
          </w:p>
          <w:p w:rsidR="006B398B" w:rsidRPr="006B398B" w:rsidRDefault="006B398B" w:rsidP="006B398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002D9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6B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жалоб на некорректное, невнимательное отношение муниципальных служащих,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оказывающих муниципальную услугу, к заявителям.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002D9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2.16.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6B398B" w:rsidRPr="006B398B" w:rsidRDefault="006B398B" w:rsidP="006B398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002D9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</w:tbl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6B398B" w:rsidRPr="006B398B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6B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6B398B" w:rsidRPr="006B398B" w:rsidRDefault="006B398B" w:rsidP="006B398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6B398B" w:rsidRPr="006B398B" w:rsidRDefault="006B398B" w:rsidP="006B39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398B" w:rsidRPr="00002D9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002D9B">
        <w:rPr>
          <w:rFonts w:ascii="Times New Roman" w:eastAsia="Times New Roman" w:hAnsi="Times New Roman" w:cs="Times New Roman"/>
          <w:bCs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6B398B" w:rsidRPr="00002D9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D9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6B398B" w:rsidRPr="006B398B" w:rsidRDefault="006B398B" w:rsidP="006B398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6B398B" w:rsidRPr="006B398B" w:rsidRDefault="006B398B" w:rsidP="006B39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К</w:t>
      </w:r>
      <w:r w:rsidR="00582881"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krasnokadkinskoe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5.5. </w:t>
      </w:r>
      <w:r w:rsidR="00002D9B" w:rsidRPr="00002D9B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6B398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B398B" w:rsidRPr="006B398B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98B" w:rsidRPr="006B398B" w:rsidRDefault="006B398B" w:rsidP="006B398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>В Исполнительный комитет  К</w:t>
      </w:r>
      <w:r w:rsidR="00582881">
        <w:rPr>
          <w:rFonts w:ascii="Times New Roman" w:eastAsia="Times New Roman" w:hAnsi="Times New Roman" w:cs="Times New Roman"/>
          <w:spacing w:val="-7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6B398B" w:rsidRPr="006B398B" w:rsidRDefault="006B398B" w:rsidP="006B398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6B398B" w:rsidRPr="006B398B" w:rsidRDefault="006B398B" w:rsidP="006B398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6B398B" w:rsidRPr="006B398B" w:rsidRDefault="006B398B" w:rsidP="006B398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6B398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6B398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</w:t>
      </w:r>
      <w:r w:rsidR="0019268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(выписк</w:t>
      </w:r>
      <w:r w:rsidR="0019268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)__________________________________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6B398B" w:rsidRPr="006B398B" w:rsidRDefault="006B398B" w:rsidP="006B39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D9B" w:rsidRPr="006B398B" w:rsidRDefault="00002D9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6B398B" w:rsidRPr="006B398B" w:rsidTr="00582881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6B398B" w:rsidRPr="006B398B" w:rsidRDefault="006B398B" w:rsidP="006B39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6B398B" w:rsidRPr="006B398B" w:rsidRDefault="006B398B" w:rsidP="006B39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6B398B" w:rsidRPr="006B398B" w:rsidRDefault="006B398B" w:rsidP="006B3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6B398B" w:rsidRPr="006B398B" w:rsidRDefault="006B398B" w:rsidP="006B3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6B398B" w:rsidRPr="006B398B" w:rsidRDefault="006B398B" w:rsidP="006B3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6B398B" w:rsidRPr="006B398B" w:rsidRDefault="006B398B" w:rsidP="006B39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6B398B" w:rsidRPr="006B398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B398B" w:rsidRPr="006B398B" w:rsidRDefault="006B398B" w:rsidP="006B39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6B398B" w:rsidRPr="006B398B" w:rsidRDefault="006B398B" w:rsidP="006B39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6B398B" w:rsidRPr="006B398B" w:rsidRDefault="006B398B" w:rsidP="006B398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К</w:t>
      </w:r>
      <w:r w:rsidR="00582881"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6B398B" w:rsidRPr="006B398B" w:rsidRDefault="006B398B" w:rsidP="006B398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98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6B398B" w:rsidRPr="006B398B" w:rsidRDefault="006B398B" w:rsidP="006B398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6B398B" w:rsidRPr="006B398B" w:rsidRDefault="006B398B" w:rsidP="006B398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B398B" w:rsidRPr="006B398B" w:rsidRDefault="006B398B" w:rsidP="006B39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6B398B" w:rsidRPr="006B398B" w:rsidRDefault="006B398B" w:rsidP="006B39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6B398B" w:rsidRPr="006B398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6B398B" w:rsidRPr="006B398B" w:rsidRDefault="006B398B" w:rsidP="006B398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Исполком К</w:t>
      </w:r>
      <w:r w:rsidR="00582881">
        <w:rPr>
          <w:rFonts w:ascii="Times New Roman" w:eastAsia="Times New Roman" w:hAnsi="Times New Roman" w:cs="Times New Roman"/>
          <w:b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6B398B" w:rsidRPr="006B398B" w:rsidRDefault="006B398B" w:rsidP="006B39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6B398B" w:rsidRPr="006B398B" w:rsidTr="00582881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8B" w:rsidRPr="006B398B" w:rsidRDefault="006B398B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8B" w:rsidRPr="006B398B" w:rsidRDefault="006B398B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8B" w:rsidRPr="006B398B" w:rsidRDefault="006B398B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B398B" w:rsidRPr="006B398B" w:rsidTr="005828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6B398B" w:rsidP="006B39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B14B61" w:rsidP="006B39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44-50-20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0F6B66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krkadka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sp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B398B" w:rsidRPr="006B398B" w:rsidTr="005828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6B398B" w:rsidP="006B39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B14B61" w:rsidP="006B39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44-50-20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0F6B66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hyperlink r:id="rId17" w:history="1"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krkadka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sp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2120" w:rsidRPr="002B5D99" w:rsidRDefault="00412120" w:rsidP="002B5D99">
      <w:pPr>
        <w:pStyle w:val="a4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412120" w:rsidRPr="002B5D99" w:rsidSect="005701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66" w:rsidRDefault="000F6B66" w:rsidP="006B398B">
      <w:pPr>
        <w:spacing w:after="0" w:line="240" w:lineRule="auto"/>
      </w:pPr>
      <w:r>
        <w:separator/>
      </w:r>
    </w:p>
  </w:endnote>
  <w:endnote w:type="continuationSeparator" w:id="0">
    <w:p w:rsidR="000F6B66" w:rsidRDefault="000F6B66" w:rsidP="006B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66" w:rsidRDefault="000F6B66" w:rsidP="006B398B">
      <w:pPr>
        <w:spacing w:after="0" w:line="240" w:lineRule="auto"/>
      </w:pPr>
      <w:r>
        <w:separator/>
      </w:r>
    </w:p>
  </w:footnote>
  <w:footnote w:type="continuationSeparator" w:id="0">
    <w:p w:rsidR="000F6B66" w:rsidRDefault="000F6B66" w:rsidP="006B398B">
      <w:pPr>
        <w:spacing w:after="0" w:line="240" w:lineRule="auto"/>
      </w:pPr>
      <w:r>
        <w:continuationSeparator/>
      </w:r>
    </w:p>
  </w:footnote>
  <w:footnote w:id="1">
    <w:p w:rsidR="00582881" w:rsidRDefault="00582881" w:rsidP="006B398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582881" w:rsidRDefault="00582881" w:rsidP="006B398B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81" w:rsidRDefault="005828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B19F8">
      <w:rPr>
        <w:noProof/>
      </w:rPr>
      <w:t>2</w:t>
    </w:r>
    <w:r>
      <w:fldChar w:fldCharType="end"/>
    </w:r>
  </w:p>
  <w:p w:rsidR="00582881" w:rsidRDefault="005828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B"/>
    <w:rsid w:val="00002D9B"/>
    <w:rsid w:val="00071CA8"/>
    <w:rsid w:val="000A1D90"/>
    <w:rsid w:val="000E44AF"/>
    <w:rsid w:val="000F6B66"/>
    <w:rsid w:val="00135CA8"/>
    <w:rsid w:val="001918EA"/>
    <w:rsid w:val="00192680"/>
    <w:rsid w:val="001B2C70"/>
    <w:rsid w:val="001B37A0"/>
    <w:rsid w:val="001D5606"/>
    <w:rsid w:val="002B5D99"/>
    <w:rsid w:val="002C4639"/>
    <w:rsid w:val="0039485F"/>
    <w:rsid w:val="00397083"/>
    <w:rsid w:val="00412120"/>
    <w:rsid w:val="00412BB5"/>
    <w:rsid w:val="0046635B"/>
    <w:rsid w:val="00467312"/>
    <w:rsid w:val="0047318B"/>
    <w:rsid w:val="0048129E"/>
    <w:rsid w:val="00494D79"/>
    <w:rsid w:val="00497F60"/>
    <w:rsid w:val="004B056F"/>
    <w:rsid w:val="0051430E"/>
    <w:rsid w:val="0053048C"/>
    <w:rsid w:val="00560DF8"/>
    <w:rsid w:val="005701FB"/>
    <w:rsid w:val="00582881"/>
    <w:rsid w:val="005B5FD8"/>
    <w:rsid w:val="005F02B8"/>
    <w:rsid w:val="006B398B"/>
    <w:rsid w:val="006C3E27"/>
    <w:rsid w:val="006E1ABB"/>
    <w:rsid w:val="0070468F"/>
    <w:rsid w:val="00705937"/>
    <w:rsid w:val="007361DD"/>
    <w:rsid w:val="007A2B25"/>
    <w:rsid w:val="0082792A"/>
    <w:rsid w:val="00857E50"/>
    <w:rsid w:val="008A75C4"/>
    <w:rsid w:val="008B521A"/>
    <w:rsid w:val="00924281"/>
    <w:rsid w:val="00970DB2"/>
    <w:rsid w:val="009A694A"/>
    <w:rsid w:val="00A141D0"/>
    <w:rsid w:val="00A97955"/>
    <w:rsid w:val="00AC1067"/>
    <w:rsid w:val="00B14B61"/>
    <w:rsid w:val="00B569EE"/>
    <w:rsid w:val="00BF41EB"/>
    <w:rsid w:val="00BF7D8C"/>
    <w:rsid w:val="00C32F44"/>
    <w:rsid w:val="00C50607"/>
    <w:rsid w:val="00C5183F"/>
    <w:rsid w:val="00C73A5D"/>
    <w:rsid w:val="00C912DD"/>
    <w:rsid w:val="00CA4051"/>
    <w:rsid w:val="00CB19F8"/>
    <w:rsid w:val="00CD7986"/>
    <w:rsid w:val="00DC2B9D"/>
    <w:rsid w:val="00DF7F30"/>
    <w:rsid w:val="00E45962"/>
    <w:rsid w:val="00E85739"/>
    <w:rsid w:val="00E94FFD"/>
    <w:rsid w:val="00ED6A13"/>
    <w:rsid w:val="00F15D94"/>
    <w:rsid w:val="00F21EAD"/>
    <w:rsid w:val="00F22B40"/>
    <w:rsid w:val="00F47DC0"/>
    <w:rsid w:val="00F57E54"/>
    <w:rsid w:val="00F9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7E626-7E2B-4051-A330-14F3392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B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398B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6B3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B39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6B3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kadka-sp@mail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Krasnokadkin.sp@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mailto:krkadka-sp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rkadka-sp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5635</Words>
  <Characters>32125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 Иванова</cp:lastModifiedBy>
  <cp:revision>2</cp:revision>
  <cp:lastPrinted>2019-06-03T11:06:00Z</cp:lastPrinted>
  <dcterms:created xsi:type="dcterms:W3CDTF">2019-09-11T10:28:00Z</dcterms:created>
  <dcterms:modified xsi:type="dcterms:W3CDTF">2019-09-11T10:28:00Z</dcterms:modified>
</cp:coreProperties>
</file>