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4257"/>
        <w:gridCol w:w="4113"/>
      </w:tblGrid>
      <w:tr w:rsidR="007E618C">
        <w:trPr>
          <w:trHeight w:val="1015"/>
        </w:trPr>
        <w:tc>
          <w:tcPr>
            <w:tcW w:w="4257" w:type="dxa"/>
          </w:tcPr>
          <w:p w:rsidR="007E618C" w:rsidRDefault="00544011">
            <w:pPr>
              <w:pStyle w:val="TableParagraph"/>
              <w:spacing w:line="278" w:lineRule="auto"/>
              <w:ind w:right="8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ИСПОЛНИТЕЛЬНЫЙ КОМИТЕТ </w:t>
            </w:r>
            <w:proofErr w:type="gramStart"/>
            <w:r>
              <w:rPr>
                <w:b/>
                <w:sz w:val="20"/>
              </w:rPr>
              <w:t>РЫБНО-СЛОБОДСКОГО</w:t>
            </w:r>
            <w:proofErr w:type="gramEnd"/>
          </w:p>
          <w:p w:rsidR="007E618C" w:rsidRDefault="00544011">
            <w:pPr>
              <w:pStyle w:val="TableParagraph"/>
              <w:spacing w:line="227" w:lineRule="exact"/>
              <w:ind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РАЙОНА</w:t>
            </w:r>
          </w:p>
          <w:p w:rsidR="007E618C" w:rsidRDefault="00544011">
            <w:pPr>
              <w:pStyle w:val="TableParagraph"/>
              <w:spacing w:before="25" w:line="210" w:lineRule="exact"/>
              <w:ind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ТАТАРСТАН</w:t>
            </w:r>
          </w:p>
        </w:tc>
        <w:tc>
          <w:tcPr>
            <w:tcW w:w="4113" w:type="dxa"/>
          </w:tcPr>
          <w:p w:rsidR="007E618C" w:rsidRDefault="00544011">
            <w:pPr>
              <w:pStyle w:val="TableParagraph"/>
              <w:spacing w:line="278" w:lineRule="auto"/>
              <w:ind w:left="816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 РЕСПУБЛИКАСЫ БАЛЫК БИСТӘСЕ</w:t>
            </w:r>
          </w:p>
          <w:p w:rsidR="007E618C" w:rsidRDefault="00544011">
            <w:pPr>
              <w:pStyle w:val="TableParagraph"/>
              <w:spacing w:line="227" w:lineRule="exact"/>
              <w:ind w:left="816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 РАЙОНЫНЫҢ</w:t>
            </w:r>
          </w:p>
          <w:p w:rsidR="007E618C" w:rsidRDefault="00544011">
            <w:pPr>
              <w:pStyle w:val="TableParagraph"/>
              <w:spacing w:before="25" w:line="210" w:lineRule="exact"/>
              <w:ind w:left="816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 КОМИТЕТЫ</w:t>
            </w:r>
          </w:p>
        </w:tc>
      </w:tr>
    </w:tbl>
    <w:p w:rsidR="007E618C" w:rsidRDefault="007E618C">
      <w:pPr>
        <w:pStyle w:val="a3"/>
        <w:ind w:left="0"/>
        <w:rPr>
          <w:sz w:val="20"/>
        </w:rPr>
      </w:pPr>
    </w:p>
    <w:p w:rsidR="007E618C" w:rsidRDefault="007E618C">
      <w:pPr>
        <w:pStyle w:val="a3"/>
        <w:ind w:left="0"/>
        <w:rPr>
          <w:sz w:val="20"/>
        </w:rPr>
      </w:pPr>
    </w:p>
    <w:p w:rsidR="007E618C" w:rsidRDefault="007E618C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055" w:type="dxa"/>
        <w:tblLayout w:type="fixed"/>
        <w:tblLook w:val="01E0" w:firstRow="1" w:lastRow="1" w:firstColumn="1" w:lastColumn="1" w:noHBand="0" w:noVBand="0"/>
      </w:tblPr>
      <w:tblGrid>
        <w:gridCol w:w="4132"/>
        <w:gridCol w:w="2658"/>
      </w:tblGrid>
      <w:tr w:rsidR="007E618C">
        <w:trPr>
          <w:trHeight w:val="565"/>
        </w:trPr>
        <w:tc>
          <w:tcPr>
            <w:tcW w:w="4132" w:type="dxa"/>
          </w:tcPr>
          <w:p w:rsidR="007E618C" w:rsidRDefault="007E618C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7E618C" w:rsidRDefault="00544011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  <w:tc>
          <w:tcPr>
            <w:tcW w:w="2658" w:type="dxa"/>
          </w:tcPr>
          <w:p w:rsidR="007E618C" w:rsidRDefault="007E618C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7E618C" w:rsidRDefault="00544011">
            <w:pPr>
              <w:pStyle w:val="TableParagraph"/>
              <w:spacing w:line="256" w:lineRule="exact"/>
              <w:ind w:left="16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КАРАР</w:t>
            </w:r>
          </w:p>
        </w:tc>
      </w:tr>
    </w:tbl>
    <w:p w:rsidR="007E618C" w:rsidRDefault="007E618C">
      <w:pPr>
        <w:pStyle w:val="a3"/>
        <w:spacing w:before="6"/>
        <w:ind w:left="0"/>
        <w:rPr>
          <w:sz w:val="23"/>
        </w:rPr>
      </w:pPr>
    </w:p>
    <w:p w:rsidR="007E618C" w:rsidRDefault="00544011" w:rsidP="00702585">
      <w:pPr>
        <w:tabs>
          <w:tab w:val="left" w:pos="4364"/>
          <w:tab w:val="left" w:pos="7095"/>
        </w:tabs>
        <w:spacing w:before="91"/>
        <w:ind w:firstLine="1418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32127" behindDoc="1" locked="0" layoutInCell="1" allowOverlap="1">
            <wp:simplePos x="0" y="0"/>
            <wp:positionH relativeFrom="page">
              <wp:posOffset>3782059</wp:posOffset>
            </wp:positionH>
            <wp:positionV relativeFrom="paragraph">
              <wp:posOffset>-1544371</wp:posOffset>
            </wp:positionV>
            <wp:extent cx="591718" cy="733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1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65E">
        <w:rPr>
          <w:noProof/>
          <w:lang w:bidi="ar-SA"/>
        </w:rPr>
        <w:pict>
          <v:line id="Line 2" o:spid="_x0000_s1026" style="position:absolute;left:0;text-align:left;z-index:1048;visibility:visible;mso-position-horizontal-relative:page;mso-position-vertical-relative:text" from="83.65pt,-41.8pt" to="554.35pt,-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" strokeweight="1.44pt">
            <w10:wrap anchorx="page"/>
          </v:line>
        </w:pict>
      </w:r>
      <w:r w:rsidR="00702585">
        <w:rPr>
          <w:sz w:val="20"/>
        </w:rPr>
        <w:t>__________________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 w:rsidR="00B669A7">
        <w:rPr>
          <w:sz w:val="20"/>
        </w:rPr>
        <w:t xml:space="preserve"> </w:t>
      </w:r>
      <w:r>
        <w:rPr>
          <w:sz w:val="20"/>
        </w:rPr>
        <w:t>Рыбная</w:t>
      </w:r>
      <w:r w:rsidR="00B669A7">
        <w:rPr>
          <w:sz w:val="20"/>
        </w:rPr>
        <w:t xml:space="preserve"> </w:t>
      </w:r>
      <w:r w:rsidR="00702585">
        <w:rPr>
          <w:sz w:val="20"/>
        </w:rPr>
        <w:t xml:space="preserve">Слобода               </w:t>
      </w:r>
      <w:r>
        <w:rPr>
          <w:sz w:val="20"/>
        </w:rPr>
        <w:t>№</w:t>
      </w:r>
      <w:r w:rsidR="00702585">
        <w:rPr>
          <w:sz w:val="20"/>
        </w:rPr>
        <w:t>______</w:t>
      </w:r>
    </w:p>
    <w:p w:rsidR="00D563E2" w:rsidRDefault="00D563E2" w:rsidP="00702585">
      <w:pPr>
        <w:tabs>
          <w:tab w:val="left" w:pos="4364"/>
          <w:tab w:val="left" w:pos="7095"/>
        </w:tabs>
        <w:spacing w:before="91"/>
        <w:ind w:firstLine="1418"/>
        <w:rPr>
          <w:sz w:val="20"/>
        </w:rPr>
      </w:pPr>
    </w:p>
    <w:p w:rsidR="00D563E2" w:rsidRPr="00D563E2" w:rsidRDefault="00D563E2" w:rsidP="00D563E2">
      <w:pPr>
        <w:adjustRightInd w:val="0"/>
        <w:ind w:right="4961"/>
        <w:contextualSpacing/>
        <w:jc w:val="both"/>
        <w:rPr>
          <w:sz w:val="28"/>
          <w:szCs w:val="28"/>
        </w:rPr>
      </w:pPr>
      <w:r w:rsidRPr="00D563E2">
        <w:rPr>
          <w:rStyle w:val="84"/>
        </w:rPr>
        <w:t>Об установлении денежных выплат</w:t>
      </w:r>
      <w:r w:rsidR="00897A75">
        <w:rPr>
          <w:rStyle w:val="84"/>
        </w:rPr>
        <w:t xml:space="preserve"> </w:t>
      </w:r>
      <w:r w:rsidRPr="00D563E2">
        <w:rPr>
          <w:sz w:val="28"/>
          <w:szCs w:val="28"/>
        </w:rPr>
        <w:t>работникам – молодым специалистам физкультурных спортивных организаций, осуществляющих подготовку спортивного резерва Республики Татарстан»</w:t>
      </w:r>
    </w:p>
    <w:p w:rsidR="00D563E2" w:rsidRDefault="00D563E2" w:rsidP="00D563E2">
      <w:pPr>
        <w:adjustRightInd w:val="0"/>
        <w:contextualSpacing/>
        <w:jc w:val="both"/>
        <w:rPr>
          <w:sz w:val="28"/>
          <w:szCs w:val="28"/>
        </w:rPr>
      </w:pPr>
    </w:p>
    <w:p w:rsidR="00D563E2" w:rsidRPr="00396A09" w:rsidRDefault="00D563E2" w:rsidP="0098192D">
      <w:pPr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DE52C8">
        <w:rPr>
          <w:sz w:val="28"/>
          <w:szCs w:val="28"/>
        </w:rPr>
        <w:t xml:space="preserve">В целях государственной поддержки работников – молодых специалистов и закрепления специалистов физкультурных </w:t>
      </w:r>
      <w:r>
        <w:rPr>
          <w:sz w:val="28"/>
          <w:szCs w:val="28"/>
        </w:rPr>
        <w:t xml:space="preserve">спортивных </w:t>
      </w:r>
      <w:r w:rsidRPr="00DE52C8">
        <w:rPr>
          <w:sz w:val="28"/>
          <w:szCs w:val="28"/>
        </w:rPr>
        <w:t>организаций, осуществляющих подготовку спортивного резерва в Ре</w:t>
      </w:r>
      <w:r>
        <w:rPr>
          <w:sz w:val="28"/>
          <w:szCs w:val="28"/>
        </w:rPr>
        <w:t>спублике Татарстана в</w:t>
      </w:r>
      <w:proofErr w:type="gramStart"/>
      <w:r w:rsidR="0098192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ыбно – Слободском </w:t>
      </w:r>
      <w:r w:rsidRPr="00DE52C8">
        <w:rPr>
          <w:sz w:val="28"/>
          <w:szCs w:val="28"/>
        </w:rPr>
        <w:t xml:space="preserve"> муниципальном районе Республики Татарстан, руководствуясь Постановлением </w:t>
      </w:r>
      <w:r w:rsidR="0098192D">
        <w:rPr>
          <w:sz w:val="28"/>
          <w:szCs w:val="28"/>
        </w:rPr>
        <w:t xml:space="preserve">Кабинета Министров от 31 октября </w:t>
      </w:r>
      <w:r w:rsidRPr="00645045">
        <w:rPr>
          <w:sz w:val="28"/>
          <w:szCs w:val="28"/>
        </w:rPr>
        <w:t>2019 г. № 979 «Об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Татарстан»</w:t>
      </w:r>
      <w:r>
        <w:rPr>
          <w:sz w:val="28"/>
          <w:szCs w:val="28"/>
        </w:rPr>
        <w:t>,</w:t>
      </w:r>
      <w:r w:rsidR="0098192D">
        <w:rPr>
          <w:sz w:val="28"/>
          <w:szCs w:val="28"/>
        </w:rPr>
        <w:t xml:space="preserve">  </w:t>
      </w:r>
      <w:r w:rsidR="0098192D" w:rsidRPr="0098192D">
        <w:rPr>
          <w:sz w:val="28"/>
          <w:szCs w:val="28"/>
        </w:rPr>
        <w:t>ПОСТАНОВЛЯЮ</w:t>
      </w:r>
      <w:r w:rsidRPr="0098192D">
        <w:rPr>
          <w:sz w:val="28"/>
          <w:szCs w:val="28"/>
        </w:rPr>
        <w:t>:</w:t>
      </w:r>
    </w:p>
    <w:p w:rsidR="00D563E2" w:rsidRPr="00645045" w:rsidRDefault="00D563E2" w:rsidP="00D563E2">
      <w:pPr>
        <w:adjustRightInd w:val="0"/>
        <w:ind w:firstLine="709"/>
        <w:contextualSpacing/>
        <w:jc w:val="center"/>
        <w:rPr>
          <w:sz w:val="28"/>
          <w:szCs w:val="28"/>
        </w:rPr>
      </w:pPr>
    </w:p>
    <w:p w:rsidR="002362E2" w:rsidRPr="002362E2" w:rsidRDefault="00D563E2" w:rsidP="00D563E2">
      <w:pPr>
        <w:pStyle w:val="11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D563E2">
        <w:rPr>
          <w:lang w:val="ru-RU"/>
        </w:rPr>
        <w:t>Установить работникам - 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Татарстан, следующие денежные выплаты:</w:t>
      </w:r>
    </w:p>
    <w:p w:rsidR="002362E2" w:rsidRDefault="002362E2" w:rsidP="002362E2">
      <w:pPr>
        <w:pStyle w:val="111"/>
        <w:tabs>
          <w:tab w:val="left" w:pos="851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D563E2" w:rsidRPr="002362E2">
        <w:rPr>
          <w:lang w:val="ru-RU"/>
        </w:rPr>
        <w:t>ежемесячную стимулирующую надбавку в размере 1 111 рублей пропорционально отработанному времени, но не более 1 111 рублей в месяц;</w:t>
      </w:r>
    </w:p>
    <w:p w:rsidR="00D563E2" w:rsidRPr="00C22954" w:rsidRDefault="002362E2" w:rsidP="002362E2">
      <w:pPr>
        <w:pStyle w:val="111"/>
        <w:tabs>
          <w:tab w:val="left" w:pos="851"/>
        </w:tabs>
        <w:ind w:firstLine="709"/>
        <w:jc w:val="both"/>
      </w:pPr>
      <w:r>
        <w:t xml:space="preserve">- </w:t>
      </w:r>
      <w:proofErr w:type="gramStart"/>
      <w:r w:rsidR="00D563E2" w:rsidRPr="00C22954">
        <w:t>единовременную</w:t>
      </w:r>
      <w:proofErr w:type="gramEnd"/>
      <w:r w:rsidR="00D563E2" w:rsidRPr="00C22954">
        <w:t xml:space="preserve"> денежную выплату на хозяйственное обустройство в размере 20 000 рублей.</w:t>
      </w:r>
    </w:p>
    <w:p w:rsidR="00D563E2" w:rsidRPr="00D563E2" w:rsidRDefault="00D563E2" w:rsidP="00D563E2">
      <w:pPr>
        <w:pStyle w:val="111"/>
        <w:numPr>
          <w:ilvl w:val="0"/>
          <w:numId w:val="3"/>
        </w:numPr>
        <w:tabs>
          <w:tab w:val="left" w:pos="851"/>
        </w:tabs>
        <w:ind w:left="0" w:right="-1" w:firstLine="567"/>
        <w:jc w:val="both"/>
        <w:rPr>
          <w:rFonts w:ascii="Arial Unicode MS" w:hAnsi="Arial Unicode MS" w:cs="Arial Unicode MS"/>
          <w:lang w:val="ru-RU"/>
        </w:rPr>
      </w:pPr>
      <w:r w:rsidRPr="00D563E2">
        <w:rPr>
          <w:lang w:val="ru-RU"/>
        </w:rPr>
        <w:t xml:space="preserve">Утвердить </w:t>
      </w:r>
      <w:r w:rsidRPr="00D563E2">
        <w:rPr>
          <w:color w:val="000000"/>
          <w:lang w:val="ru-RU"/>
        </w:rPr>
        <w:t>Порядок предоставления денежных выплат работникам - молодым специалистам, работающим в муниципальных физкультурных спортив</w:t>
      </w:r>
      <w:r w:rsidRPr="00D563E2">
        <w:rPr>
          <w:color w:val="000000"/>
          <w:lang w:val="ru-RU"/>
        </w:rPr>
        <w:softHyphen/>
        <w:t>ных организациях, осуществляющих подготовку спортивного резерва Республики Татарстан.</w:t>
      </w:r>
    </w:p>
    <w:p w:rsidR="00D563E2" w:rsidRPr="00D563E2" w:rsidRDefault="00D563E2" w:rsidP="00D563E2">
      <w:pPr>
        <w:pStyle w:val="111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-1" w:firstLine="567"/>
        <w:jc w:val="both"/>
        <w:rPr>
          <w:lang w:val="ru-RU"/>
        </w:rPr>
      </w:pPr>
      <w:r w:rsidRPr="00D563E2">
        <w:rPr>
          <w:lang w:val="ru-RU"/>
        </w:rPr>
        <w:t>Утвердить Порядок предоставления иных межбюджетных трансфертов из бюджета Республики Татарстан бюджету</w:t>
      </w:r>
      <w:proofErr w:type="gramStart"/>
      <w:r w:rsidR="00B71559">
        <w:rPr>
          <w:lang w:val="ru-RU"/>
        </w:rPr>
        <w:t xml:space="preserve"> </w:t>
      </w:r>
      <w:r>
        <w:rPr>
          <w:lang w:val="ru-RU"/>
        </w:rPr>
        <w:t>Р</w:t>
      </w:r>
      <w:proofErr w:type="gramEnd"/>
      <w:r>
        <w:rPr>
          <w:lang w:val="ru-RU"/>
        </w:rPr>
        <w:t xml:space="preserve">ыбно – Слободского </w:t>
      </w:r>
      <w:r w:rsidRPr="00D563E2">
        <w:rPr>
          <w:lang w:val="ru-RU"/>
        </w:rPr>
        <w:t xml:space="preserve">муниципального района Республики Татарстан на осуществление денежных выплат работникам - молодым специалистам, работающим </w:t>
      </w:r>
      <w:r w:rsidRPr="00D563E2">
        <w:rPr>
          <w:color w:val="000000"/>
          <w:lang w:val="ru-RU"/>
        </w:rPr>
        <w:t>в муниципальных физкультурных спортивных организациях, осуществляющих подготовку спортивного резерва Республики Татарстан.</w:t>
      </w:r>
    </w:p>
    <w:p w:rsidR="00D563E2" w:rsidRPr="00D563E2" w:rsidRDefault="00D563E2" w:rsidP="00D563E2">
      <w:pPr>
        <w:pStyle w:val="111"/>
        <w:numPr>
          <w:ilvl w:val="0"/>
          <w:numId w:val="3"/>
        </w:numPr>
        <w:tabs>
          <w:tab w:val="left" w:pos="851"/>
        </w:tabs>
        <w:ind w:left="0" w:right="-1" w:firstLine="567"/>
        <w:jc w:val="both"/>
        <w:rPr>
          <w:rFonts w:ascii="Arial Unicode MS" w:hAnsi="Arial Unicode MS" w:cs="Arial Unicode MS"/>
          <w:lang w:val="ru-RU"/>
        </w:rPr>
      </w:pPr>
      <w:r w:rsidRPr="00D563E2">
        <w:rPr>
          <w:lang w:val="ru-RU"/>
        </w:rPr>
        <w:t xml:space="preserve">Положения настоящего постановления, </w:t>
      </w:r>
      <w:hyperlink w:anchor="P40" w:history="1">
        <w:r w:rsidRPr="00D563E2">
          <w:rPr>
            <w:lang w:val="ru-RU"/>
          </w:rPr>
          <w:t>Порядка</w:t>
        </w:r>
      </w:hyperlink>
      <w:r>
        <w:rPr>
          <w:lang w:val="ru-RU"/>
        </w:rPr>
        <w:t xml:space="preserve"> </w:t>
      </w:r>
      <w:r w:rsidRPr="00D563E2">
        <w:rPr>
          <w:color w:val="000000"/>
          <w:lang w:val="ru-RU"/>
        </w:rPr>
        <w:t>предоставления денежных выплат работникам - молодым специалистам, работающим в муниципальных физкультурных спортив</w:t>
      </w:r>
      <w:r w:rsidRPr="00D563E2">
        <w:rPr>
          <w:color w:val="000000"/>
          <w:lang w:val="ru-RU"/>
        </w:rPr>
        <w:softHyphen/>
        <w:t xml:space="preserve">ных организациях, осуществляющих </w:t>
      </w:r>
      <w:r w:rsidRPr="00D563E2">
        <w:rPr>
          <w:color w:val="000000"/>
          <w:lang w:val="ru-RU"/>
        </w:rPr>
        <w:lastRenderedPageBreak/>
        <w:t>подготовку спортивного резерва Республики Татарстан</w:t>
      </w:r>
      <w:r w:rsidRPr="00D563E2">
        <w:rPr>
          <w:lang w:val="ru-RU"/>
        </w:rPr>
        <w:t xml:space="preserve">, </w:t>
      </w:r>
      <w:hyperlink w:anchor="P102" w:history="1">
        <w:r w:rsidRPr="00D563E2">
          <w:rPr>
            <w:lang w:val="ru-RU"/>
          </w:rPr>
          <w:t>Порядка</w:t>
        </w:r>
      </w:hyperlink>
      <w:r>
        <w:rPr>
          <w:lang w:val="ru-RU"/>
        </w:rPr>
        <w:t xml:space="preserve"> </w:t>
      </w:r>
      <w:r w:rsidRPr="00D563E2">
        <w:rPr>
          <w:lang w:val="ru-RU"/>
        </w:rPr>
        <w:t>Порядок предоставления иных межбюджетных трансфертов из бюджета Республики Татарстан бюджету</w:t>
      </w:r>
      <w:proofErr w:type="gramStart"/>
      <w:r w:rsidR="00B71559">
        <w:rPr>
          <w:lang w:val="ru-RU"/>
        </w:rPr>
        <w:t xml:space="preserve"> </w:t>
      </w:r>
      <w:r>
        <w:rPr>
          <w:lang w:val="ru-RU"/>
        </w:rPr>
        <w:t>Р</w:t>
      </w:r>
      <w:proofErr w:type="gramEnd"/>
      <w:r>
        <w:rPr>
          <w:lang w:val="ru-RU"/>
        </w:rPr>
        <w:t xml:space="preserve">ыбно – Слободского </w:t>
      </w:r>
      <w:r w:rsidRPr="00D563E2">
        <w:rPr>
          <w:lang w:val="ru-RU"/>
        </w:rPr>
        <w:t xml:space="preserve">муниципального района Республики Татарстан на осуществление денежных выплат работникам - молодым специалистам, работающим </w:t>
      </w:r>
      <w:r w:rsidRPr="00D563E2">
        <w:rPr>
          <w:color w:val="000000"/>
          <w:lang w:val="ru-RU"/>
        </w:rPr>
        <w:t>в муниципальных физкультурных спортивных организациях, осуществляющих подготовку спортивного резерва Республики Татарстан</w:t>
      </w:r>
      <w:r w:rsidRPr="00D563E2">
        <w:rPr>
          <w:lang w:val="ru-RU"/>
        </w:rPr>
        <w:t>, утвержденных настоящим постановлением, устанавливающие размер, порядок и условия предоставления работникам - молодым специалистам единовременных денежных выплат, вступают в силу с 1 января 2020 года.</w:t>
      </w:r>
    </w:p>
    <w:p w:rsidR="00D563E2" w:rsidRPr="00A77AB0" w:rsidRDefault="00B71559" w:rsidP="00D563E2">
      <w:pPr>
        <w:adjustRightInd w:val="0"/>
        <w:ind w:right="-1"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5</w:t>
      </w:r>
      <w:r w:rsidR="00D563E2" w:rsidRPr="00A77AB0">
        <w:rPr>
          <w:rFonts w:eastAsiaTheme="minorHAnsi"/>
          <w:color w:val="000000"/>
          <w:sz w:val="28"/>
          <w:szCs w:val="28"/>
        </w:rPr>
        <w:t>.</w:t>
      </w:r>
      <w:r w:rsidR="00D563E2" w:rsidRPr="00A77A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 казенному учреждению «О</w:t>
      </w:r>
      <w:r w:rsidR="00D563E2" w:rsidRPr="00A77AB0">
        <w:rPr>
          <w:sz w:val="28"/>
          <w:szCs w:val="28"/>
        </w:rPr>
        <w:t xml:space="preserve">тдел по делам молодежи, спорту и туризму </w:t>
      </w:r>
      <w:r w:rsidR="00D563E2">
        <w:rPr>
          <w:sz w:val="28"/>
          <w:szCs w:val="28"/>
        </w:rPr>
        <w:t>И</w:t>
      </w:r>
      <w:r w:rsidR="00D563E2" w:rsidRPr="00A77AB0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>» (Шакиров И.З.)</w:t>
      </w:r>
      <w:r w:rsidR="00D563E2" w:rsidRPr="00A77AB0">
        <w:rPr>
          <w:sz w:val="28"/>
          <w:szCs w:val="28"/>
        </w:rPr>
        <w:t xml:space="preserve"> </w:t>
      </w:r>
      <w:r w:rsidR="00D563E2">
        <w:rPr>
          <w:sz w:val="28"/>
          <w:szCs w:val="28"/>
        </w:rPr>
        <w:t xml:space="preserve">Рыбно – Слободского </w:t>
      </w:r>
      <w:r w:rsidR="00D563E2" w:rsidRPr="00A77AB0">
        <w:rPr>
          <w:sz w:val="28"/>
          <w:szCs w:val="28"/>
        </w:rPr>
        <w:t xml:space="preserve">муниципального района Республики Татарстан обеспечить ежегодное заключение Соглашения </w:t>
      </w:r>
      <w:r w:rsidR="00D563E2">
        <w:rPr>
          <w:sz w:val="28"/>
          <w:szCs w:val="28"/>
        </w:rPr>
        <w:t>о</w:t>
      </w:r>
      <w:r w:rsidR="00D563E2" w:rsidRPr="00A77AB0">
        <w:rPr>
          <w:sz w:val="28"/>
          <w:szCs w:val="28"/>
        </w:rPr>
        <w:t xml:space="preserve"> денежных выплатах работникам – молодым специалистам физкультурных спортивных организаций, осуществляющи</w:t>
      </w:r>
      <w:r w:rsidR="00D563E2">
        <w:rPr>
          <w:sz w:val="28"/>
          <w:szCs w:val="28"/>
        </w:rPr>
        <w:t>х подготовку спортивного резерва</w:t>
      </w:r>
      <w:r w:rsidR="00D563E2" w:rsidRPr="00A77AB0">
        <w:rPr>
          <w:sz w:val="28"/>
          <w:szCs w:val="28"/>
        </w:rPr>
        <w:t xml:space="preserve"> с Министерством спорта Республики Татарстан.</w:t>
      </w:r>
    </w:p>
    <w:p w:rsidR="00D563E2" w:rsidRPr="00645045" w:rsidRDefault="00B71559" w:rsidP="00D563E2">
      <w:pPr>
        <w:tabs>
          <w:tab w:val="left" w:pos="5103"/>
        </w:tabs>
        <w:adjustRightInd w:val="0"/>
        <w:ind w:firstLine="567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6</w:t>
      </w:r>
      <w:r w:rsidR="00D563E2">
        <w:rPr>
          <w:rFonts w:eastAsiaTheme="minorHAnsi"/>
          <w:color w:val="000000"/>
          <w:sz w:val="28"/>
          <w:szCs w:val="28"/>
        </w:rPr>
        <w:t>.</w:t>
      </w:r>
      <w:r w:rsidRPr="00B71559">
        <w:rPr>
          <w:sz w:val="28"/>
          <w:szCs w:val="28"/>
        </w:rPr>
        <w:t xml:space="preserve"> </w:t>
      </w:r>
      <w:r w:rsidRPr="002310F4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2310F4">
          <w:rPr>
            <w:sz w:val="28"/>
            <w:szCs w:val="28"/>
          </w:rPr>
          <w:t>http://ribnaya-sloboda.tatarstan.ru</w:t>
        </w:r>
      </w:hyperlink>
      <w:r w:rsidRPr="002310F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2310F4">
          <w:rPr>
            <w:sz w:val="28"/>
            <w:szCs w:val="28"/>
          </w:rPr>
          <w:t>http://pravo.tatarstan.ru</w:t>
        </w:r>
      </w:hyperlink>
      <w:r w:rsidRPr="002310F4">
        <w:rPr>
          <w:sz w:val="28"/>
          <w:szCs w:val="28"/>
        </w:rPr>
        <w:t>.</w:t>
      </w:r>
    </w:p>
    <w:p w:rsidR="00D563E2" w:rsidRDefault="00B71559" w:rsidP="00D563E2">
      <w:pPr>
        <w:pStyle w:val="a3"/>
        <w:spacing w:before="1" w:line="322" w:lineRule="exact"/>
        <w:ind w:right="152"/>
        <w:jc w:val="both"/>
      </w:pPr>
      <w:r>
        <w:t xml:space="preserve">     7</w:t>
      </w:r>
      <w:r w:rsidR="00D563E2" w:rsidRPr="00645045">
        <w:t xml:space="preserve">. </w:t>
      </w:r>
      <w:proofErr w:type="gramStart"/>
      <w:r w:rsidR="00D563E2">
        <w:t>Контроль за</w:t>
      </w:r>
      <w:proofErr w:type="gramEnd"/>
      <w:r w:rsidR="00D563E2">
        <w:t xml:space="preserve"> исполнением настоящего постановления возложить на </w:t>
      </w:r>
      <w:r>
        <w:t xml:space="preserve">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t>А.К.Вафину</w:t>
      </w:r>
      <w:proofErr w:type="spellEnd"/>
      <w:r>
        <w:t>.</w:t>
      </w:r>
    </w:p>
    <w:p w:rsidR="00D563E2" w:rsidRDefault="00D563E2" w:rsidP="00D563E2">
      <w:pPr>
        <w:pStyle w:val="a3"/>
        <w:ind w:left="0"/>
        <w:rPr>
          <w:sz w:val="30"/>
        </w:rPr>
      </w:pPr>
    </w:p>
    <w:p w:rsidR="00D563E2" w:rsidRDefault="00D563E2" w:rsidP="00D563E2">
      <w:pPr>
        <w:adjustRightInd w:val="0"/>
        <w:ind w:firstLine="567"/>
        <w:contextualSpacing/>
        <w:jc w:val="both"/>
        <w:rPr>
          <w:sz w:val="28"/>
          <w:szCs w:val="28"/>
        </w:rPr>
      </w:pPr>
    </w:p>
    <w:p w:rsidR="007E618C" w:rsidRDefault="007E618C">
      <w:pPr>
        <w:pStyle w:val="a3"/>
        <w:ind w:left="0"/>
        <w:rPr>
          <w:sz w:val="26"/>
        </w:rPr>
      </w:pPr>
    </w:p>
    <w:p w:rsidR="00441239" w:rsidRDefault="001A6202" w:rsidP="00B71559">
      <w:pPr>
        <w:pStyle w:val="a3"/>
        <w:tabs>
          <w:tab w:val="left" w:pos="6804"/>
        </w:tabs>
        <w:spacing w:line="242" w:lineRule="auto"/>
        <w:ind w:right="11"/>
      </w:pPr>
      <w:r>
        <w:t>Руководитель</w:t>
      </w:r>
      <w:r w:rsidR="00B71559">
        <w:t xml:space="preserve">             </w:t>
      </w:r>
      <w:r w:rsidR="00544011">
        <w:tab/>
      </w:r>
      <w:r w:rsidR="00B71559">
        <w:t xml:space="preserve">              </w:t>
      </w:r>
      <w:r w:rsidR="00BE6F24">
        <w:t xml:space="preserve"> </w:t>
      </w:r>
      <w:r w:rsidR="008E354B">
        <w:t>Р.Л. Исланов</w:t>
      </w:r>
    </w:p>
    <w:p w:rsidR="00441239" w:rsidRPr="00441239" w:rsidRDefault="00441239" w:rsidP="00441239"/>
    <w:p w:rsidR="00441239" w:rsidRPr="00441239" w:rsidRDefault="00441239" w:rsidP="00441239"/>
    <w:p w:rsidR="00441239" w:rsidRPr="00441239" w:rsidRDefault="00441239" w:rsidP="00441239"/>
    <w:p w:rsidR="00441239" w:rsidRPr="00441239" w:rsidRDefault="00441239" w:rsidP="00441239"/>
    <w:p w:rsidR="00441239" w:rsidRPr="00441239" w:rsidRDefault="00441239" w:rsidP="00441239"/>
    <w:p w:rsidR="00441239" w:rsidRPr="00441239" w:rsidRDefault="00441239" w:rsidP="00441239"/>
    <w:p w:rsidR="00441239" w:rsidRPr="00441239" w:rsidRDefault="00441239" w:rsidP="00441239"/>
    <w:p w:rsidR="00441239" w:rsidRDefault="00441239" w:rsidP="00441239"/>
    <w:p w:rsidR="00441239" w:rsidRDefault="00441239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Default="0098192D" w:rsidP="00441239">
      <w:pPr>
        <w:tabs>
          <w:tab w:val="left" w:pos="4170"/>
        </w:tabs>
        <w:rPr>
          <w:b/>
          <w:sz w:val="28"/>
          <w:szCs w:val="28"/>
        </w:rPr>
      </w:pPr>
    </w:p>
    <w:p w:rsidR="00B71559" w:rsidRDefault="00B71559" w:rsidP="00441239">
      <w:pPr>
        <w:tabs>
          <w:tab w:val="left" w:pos="4170"/>
        </w:tabs>
        <w:rPr>
          <w:b/>
          <w:sz w:val="28"/>
          <w:szCs w:val="28"/>
        </w:rPr>
      </w:pPr>
    </w:p>
    <w:p w:rsidR="00B71559" w:rsidRDefault="00B71559" w:rsidP="00441239">
      <w:pPr>
        <w:tabs>
          <w:tab w:val="left" w:pos="4170"/>
        </w:tabs>
        <w:rPr>
          <w:b/>
          <w:sz w:val="28"/>
          <w:szCs w:val="28"/>
        </w:rPr>
      </w:pPr>
    </w:p>
    <w:p w:rsidR="0098192D" w:rsidRPr="00B71559" w:rsidRDefault="00B71559" w:rsidP="00B71559">
      <w:pPr>
        <w:tabs>
          <w:tab w:val="left" w:pos="4170"/>
        </w:tabs>
        <w:ind w:left="5670"/>
        <w:rPr>
          <w:sz w:val="24"/>
          <w:szCs w:val="24"/>
        </w:rPr>
      </w:pPr>
      <w:r w:rsidRPr="00B71559">
        <w:rPr>
          <w:sz w:val="24"/>
          <w:szCs w:val="24"/>
        </w:rPr>
        <w:lastRenderedPageBreak/>
        <w:t xml:space="preserve">Утвержден постановлением Исполнительного комитета Рыбно-Слободского муниципального района Республики Татарстан </w:t>
      </w:r>
      <w:proofErr w:type="gramStart"/>
      <w:r w:rsidRPr="00B71559">
        <w:rPr>
          <w:sz w:val="24"/>
          <w:szCs w:val="24"/>
        </w:rPr>
        <w:t>от</w:t>
      </w:r>
      <w:proofErr w:type="gramEnd"/>
      <w:r w:rsidRPr="00B71559">
        <w:rPr>
          <w:sz w:val="24"/>
          <w:szCs w:val="24"/>
        </w:rPr>
        <w:t xml:space="preserve"> ___№___</w:t>
      </w:r>
    </w:p>
    <w:p w:rsidR="00B71559" w:rsidRPr="00B71559" w:rsidRDefault="00B71559" w:rsidP="00B71559">
      <w:pPr>
        <w:tabs>
          <w:tab w:val="left" w:pos="4170"/>
        </w:tabs>
        <w:jc w:val="center"/>
        <w:rPr>
          <w:sz w:val="28"/>
          <w:szCs w:val="28"/>
        </w:rPr>
      </w:pPr>
    </w:p>
    <w:p w:rsidR="0098192D" w:rsidRPr="00B71559" w:rsidRDefault="0098192D" w:rsidP="00B71559">
      <w:pPr>
        <w:tabs>
          <w:tab w:val="left" w:pos="4170"/>
        </w:tabs>
        <w:jc w:val="center"/>
        <w:rPr>
          <w:sz w:val="28"/>
          <w:szCs w:val="28"/>
        </w:rPr>
      </w:pPr>
      <w:r w:rsidRPr="00B71559">
        <w:rPr>
          <w:sz w:val="28"/>
          <w:szCs w:val="28"/>
        </w:rPr>
        <w:t>Порядок предоставления иных межбюджетных трансфертов из бюджета Республики Татарстан бюджету</w:t>
      </w:r>
      <w:proofErr w:type="gramStart"/>
      <w:r w:rsidR="00B71559">
        <w:rPr>
          <w:sz w:val="28"/>
          <w:szCs w:val="28"/>
        </w:rPr>
        <w:t xml:space="preserve"> </w:t>
      </w:r>
      <w:r w:rsidRPr="00B71559">
        <w:rPr>
          <w:sz w:val="28"/>
          <w:szCs w:val="28"/>
        </w:rPr>
        <w:t>Р</w:t>
      </w:r>
      <w:proofErr w:type="gramEnd"/>
      <w:r w:rsidRPr="00B71559">
        <w:rPr>
          <w:sz w:val="28"/>
          <w:szCs w:val="28"/>
        </w:rPr>
        <w:t>ыбно – Слободского муниципального района на осуществление денежных выплат работникам молодым специалистам, работающим в муниципальном бюджетном учреждении «Спортивная школа» Рыбно – Слободского муниципального района Республики Татарстан</w:t>
      </w:r>
    </w:p>
    <w:p w:rsidR="0098192D" w:rsidRDefault="0098192D" w:rsidP="0098192D">
      <w:pPr>
        <w:tabs>
          <w:tab w:val="left" w:pos="4170"/>
        </w:tabs>
        <w:rPr>
          <w:sz w:val="28"/>
          <w:szCs w:val="28"/>
        </w:rPr>
      </w:pP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1.</w:t>
      </w:r>
      <w:r w:rsidR="0098192D" w:rsidRPr="004B165E">
        <w:rPr>
          <w:sz w:val="28"/>
        </w:rPr>
        <w:t>Настоящий Порядок устанавливает размер и порядок выплаты ежемесячной стимулирующей надбавки работникам – молодым специалистам, работающим в физкультурно-спортивных организациях Рыбно–Слободского муниципального района Республики Татарстан (далее</w:t>
      </w:r>
      <w:r w:rsidR="00905093" w:rsidRPr="004B165E">
        <w:rPr>
          <w:sz w:val="28"/>
        </w:rPr>
        <w:t>-</w:t>
      </w:r>
      <w:r w:rsidR="0098192D" w:rsidRPr="004B165E">
        <w:rPr>
          <w:sz w:val="28"/>
        </w:rPr>
        <w:t>Организация), осуществляющих подготовку спортивного резерва Рыбно-Слободского муниципального района Республики Татарстан, в отношении которых функции и полномочия учредителя осуществляет Министерство спор</w:t>
      </w:r>
      <w:r w:rsidR="00905093" w:rsidRPr="004B165E">
        <w:rPr>
          <w:sz w:val="28"/>
        </w:rPr>
        <w:t>та Республики Татарстан (далее-</w:t>
      </w:r>
      <w:r w:rsidR="0098192D" w:rsidRPr="004B165E">
        <w:rPr>
          <w:sz w:val="28"/>
        </w:rPr>
        <w:t>Министерство).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2.</w:t>
      </w:r>
      <w:r w:rsidR="0098192D" w:rsidRPr="004B165E">
        <w:rPr>
          <w:sz w:val="28"/>
        </w:rPr>
        <w:t>Выплата ежемесячной стимулирующей надбавки работникам – молодым специалистам Организации производится за счет средств, предусмотренных в бюджете Республики Татарстан на соответствующий финансовый год Министерству спорта Республики Татарстан.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proofErr w:type="gramStart"/>
      <w:r w:rsidRPr="004B165E">
        <w:rPr>
          <w:sz w:val="28"/>
        </w:rPr>
        <w:t>3.</w:t>
      </w:r>
      <w:r w:rsidR="0098192D" w:rsidRPr="004B165E">
        <w:rPr>
          <w:sz w:val="28"/>
        </w:rPr>
        <w:t xml:space="preserve">Работникам – молодым специалистам Организации признается гражданин Российской Федерации в возрасте до 30 лет включительно, впервые окончивший в очной форме обучения профессиональную образовательную организацию, образовательную организацию высшего образования, имеющую государственную аккредитацию по образовательным программам высшего образования – программам </w:t>
      </w:r>
      <w:proofErr w:type="spellStart"/>
      <w:r w:rsidR="0098192D" w:rsidRPr="004B165E">
        <w:rPr>
          <w:sz w:val="28"/>
        </w:rPr>
        <w:t>бакалавриата</w:t>
      </w:r>
      <w:proofErr w:type="spellEnd"/>
      <w:r w:rsidR="0098192D" w:rsidRPr="004B165E">
        <w:rPr>
          <w:sz w:val="28"/>
        </w:rPr>
        <w:t xml:space="preserve">,  </w:t>
      </w:r>
      <w:proofErr w:type="spellStart"/>
      <w:r w:rsidR="0098192D" w:rsidRPr="004B165E">
        <w:rPr>
          <w:sz w:val="28"/>
        </w:rPr>
        <w:t>специалитета</w:t>
      </w:r>
      <w:proofErr w:type="spellEnd"/>
      <w:r w:rsidR="0098192D" w:rsidRPr="004B165E">
        <w:rPr>
          <w:sz w:val="28"/>
        </w:rPr>
        <w:t>, магистратуры (далее –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</w:t>
      </w:r>
      <w:proofErr w:type="gramEnd"/>
      <w:r w:rsidR="0098192D" w:rsidRPr="004B165E">
        <w:rPr>
          <w:sz w:val="28"/>
        </w:rPr>
        <w:t xml:space="preserve">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физкультурно-спортивной работе, инструктор-методист по адаптивной физической культуре, тренер.</w:t>
      </w:r>
    </w:p>
    <w:p w:rsidR="00905093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4.</w:t>
      </w:r>
      <w:r w:rsidR="0098192D" w:rsidRPr="004B165E">
        <w:rPr>
          <w:sz w:val="28"/>
        </w:rPr>
        <w:t xml:space="preserve">Ежемесячная стимулирующая надбавка устанавливается работникам – молодым специалистам </w:t>
      </w:r>
      <w:proofErr w:type="gramStart"/>
      <w:r w:rsidR="0098192D" w:rsidRPr="004B165E">
        <w:rPr>
          <w:sz w:val="28"/>
        </w:rPr>
        <w:t>с даты трудоустройства</w:t>
      </w:r>
      <w:proofErr w:type="gramEnd"/>
      <w:r w:rsidR="0098192D" w:rsidRPr="004B165E">
        <w:rPr>
          <w:sz w:val="28"/>
        </w:rPr>
        <w:t xml:space="preserve"> в течение первых трех лет непрерывной работы на занимаемой должности.</w:t>
      </w:r>
    </w:p>
    <w:p w:rsidR="00905093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Решение об установлении, прекращении, продлении выплаты ежемесячной стимулирующей надбавки работникам – молодым специалистам утверждается приказом Организации.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Выплата ежемесячной стимулирующей надбавки работникам – молодым специалистам продлевается на период:</w:t>
      </w:r>
    </w:p>
    <w:p w:rsidR="0098192D" w:rsidRPr="004B165E" w:rsidRDefault="00905093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-с</w:t>
      </w:r>
      <w:r w:rsidR="0098192D" w:rsidRPr="004B165E">
        <w:rPr>
          <w:sz w:val="28"/>
        </w:rPr>
        <w:t xml:space="preserve">лужбы по призыву в Вооруженных Силах Российской Федерации или </w:t>
      </w:r>
      <w:r w:rsidR="0098192D" w:rsidRPr="004B165E">
        <w:rPr>
          <w:sz w:val="28"/>
        </w:rPr>
        <w:lastRenderedPageBreak/>
        <w:t>альтернативной гражданской службы;</w:t>
      </w:r>
    </w:p>
    <w:p w:rsidR="0098192D" w:rsidRPr="004B165E" w:rsidRDefault="00905093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-о</w:t>
      </w:r>
      <w:r w:rsidR="0098192D" w:rsidRPr="004B165E">
        <w:rPr>
          <w:sz w:val="28"/>
        </w:rPr>
        <w:t>тпуска по беременности и родам, отпуска по уходу за ребенком до достижения им возраста трех лет;</w:t>
      </w:r>
    </w:p>
    <w:p w:rsidR="0098192D" w:rsidRPr="004B165E" w:rsidRDefault="00905093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-о</w:t>
      </w:r>
      <w:r w:rsidR="0098192D" w:rsidRPr="004B165E">
        <w:rPr>
          <w:sz w:val="28"/>
        </w:rPr>
        <w:t>бучения по очной форме в аспирантуре.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Ежемесячная стимулирующая надбавка продлевается при условии, если ра</w:t>
      </w:r>
      <w:bookmarkStart w:id="0" w:name="_GoBack"/>
      <w:bookmarkEnd w:id="0"/>
      <w:r w:rsidRPr="004B165E">
        <w:rPr>
          <w:sz w:val="28"/>
        </w:rPr>
        <w:t>ботник – молодой специалист оформляет трудовые отношения в срок не позднее 60 дней со дня окончания службы по призыву в Вооруженных Силах Российской Федерации или альтернативной гражданской службы, отпуска по беременности и родам, отпуска по уходу за ребенком до достижения им возраста трех лет.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5.</w:t>
      </w:r>
      <w:r w:rsidR="0098192D" w:rsidRPr="004B165E">
        <w:rPr>
          <w:sz w:val="28"/>
        </w:rPr>
        <w:t>К уважительным причинам пропуска сроков трудоустройства, установленных пунктом 3  настоящего Порядка, для получения ежемесячной стимулирующей надбавки относится временная нетрудоспособность, подтвержденная документально. Ежемесячная стимулирующая надбавка сохраняется при условии, если работник – молодой специалист оформляет трудовые отношения в срок не позднее 60 дней со дня окончания временной нетрудоспособности.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6.</w:t>
      </w:r>
      <w:r w:rsidR="0098192D" w:rsidRPr="004B165E">
        <w:rPr>
          <w:sz w:val="28"/>
        </w:rPr>
        <w:t>При переходе работника – молодого специалиста в другую Организацию на аналогичную  должность допускается перерыв в работе сроком не более 30 дней.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7.</w:t>
      </w:r>
      <w:r w:rsidR="0098192D" w:rsidRPr="004B165E">
        <w:rPr>
          <w:sz w:val="28"/>
        </w:rPr>
        <w:t>При увольнении работника – молодого специалиста в связи с сокращением численности или штата при последующем трудоустройстве в другую Организацию на аналогичную должность допускается перерыв сроком не более 60 дней.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8.</w:t>
      </w:r>
      <w:r w:rsidR="0098192D" w:rsidRPr="004B165E">
        <w:rPr>
          <w:sz w:val="28"/>
        </w:rPr>
        <w:t>Ежемесячная стимулирующая надбавка работникам – молодым специалистам устанавливается только по основному месту работы молодого специалиста.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9.</w:t>
      </w:r>
      <w:r w:rsidR="0098192D" w:rsidRPr="004B165E">
        <w:rPr>
          <w:sz w:val="28"/>
        </w:rPr>
        <w:t>Ежемесячная стимулирующая надбавка работникам  - молодым специалистам устанавливается по основной должности, работа по которой осуществляется данным работником  - молодым специалистом на условиях внутреннего совмещения.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10.</w:t>
      </w:r>
      <w:r w:rsidR="0098192D" w:rsidRPr="004B165E">
        <w:rPr>
          <w:sz w:val="28"/>
        </w:rPr>
        <w:t xml:space="preserve">Размер ежемесячной стимулирующей надбавки работникам – молодым специалистам рассчитывается по формуле: </w:t>
      </w:r>
      <w:r w:rsidR="0098192D" w:rsidRPr="004B165E">
        <w:rPr>
          <w:sz w:val="28"/>
          <w:lang w:val="en-US"/>
        </w:rPr>
        <w:t>D</w:t>
      </w:r>
      <w:r w:rsidR="0098192D" w:rsidRPr="004B165E">
        <w:rPr>
          <w:sz w:val="28"/>
        </w:rPr>
        <w:t>=</w:t>
      </w:r>
      <w:proofErr w:type="spellStart"/>
      <w:proofErr w:type="gramStart"/>
      <w:r w:rsidR="0098192D" w:rsidRPr="004B165E">
        <w:rPr>
          <w:sz w:val="28"/>
          <w:lang w:val="en-US"/>
        </w:rPr>
        <w:t>PxT</w:t>
      </w:r>
      <w:proofErr w:type="spellEnd"/>
      <w:r w:rsidR="0098192D" w:rsidRPr="004B165E">
        <w:rPr>
          <w:sz w:val="28"/>
        </w:rPr>
        <w:t xml:space="preserve">  где</w:t>
      </w:r>
      <w:proofErr w:type="gramEnd"/>
      <w:r w:rsidR="0098192D" w:rsidRPr="004B165E">
        <w:rPr>
          <w:sz w:val="28"/>
        </w:rPr>
        <w:t xml:space="preserve">: 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 xml:space="preserve"> </w:t>
      </w:r>
      <w:r w:rsidRPr="004B165E">
        <w:rPr>
          <w:sz w:val="28"/>
          <w:lang w:val="en-US"/>
        </w:rPr>
        <w:t>D</w:t>
      </w:r>
      <w:r w:rsidRPr="004B165E">
        <w:rPr>
          <w:sz w:val="28"/>
        </w:rPr>
        <w:t xml:space="preserve"> – </w:t>
      </w:r>
      <w:proofErr w:type="gramStart"/>
      <w:r w:rsidRPr="004B165E">
        <w:rPr>
          <w:sz w:val="28"/>
        </w:rPr>
        <w:t>размер</w:t>
      </w:r>
      <w:proofErr w:type="gramEnd"/>
      <w:r w:rsidRPr="004B165E">
        <w:rPr>
          <w:sz w:val="28"/>
        </w:rPr>
        <w:t xml:space="preserve"> ежемесячной стимулирующей надбавки работникам – молодым специалистам, рублей; 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 xml:space="preserve"> </w:t>
      </w:r>
      <w:proofErr w:type="gramStart"/>
      <w:r w:rsidRPr="004B165E">
        <w:rPr>
          <w:sz w:val="28"/>
        </w:rPr>
        <w:t>Р</w:t>
      </w:r>
      <w:proofErr w:type="gramEnd"/>
      <w:r w:rsidRPr="004B165E">
        <w:rPr>
          <w:sz w:val="28"/>
        </w:rPr>
        <w:t xml:space="preserve"> – стимулирующая надбавка работникам – молодым специалистам в размере 1111 рублей пропорционально отработанному времени, но не более базового размера надбавки в месяц;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Т – фактическое отработанное время (ставки). Часов;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11.</w:t>
      </w:r>
      <w:r w:rsidR="0098192D" w:rsidRPr="004B165E">
        <w:rPr>
          <w:sz w:val="28"/>
        </w:rPr>
        <w:t>Организация до 1 февраля текущего года представляют в Министерство следующие документы: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Заявление о предоставлении средств на выплату ежемесячной стимулирующей надбавки по форме, утвержденной Министерством;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Документ, подтверждающий полномочия лица, подписавшего заявление о предоставлении средств на выплату ежемесячной стимулирующей надбавки;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lastRenderedPageBreak/>
        <w:t>Реестры работников – молодых специалистов Организации по форме, утвержденной приказом Министерства.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12.</w:t>
      </w:r>
      <w:r w:rsidR="0098192D" w:rsidRPr="004B165E">
        <w:rPr>
          <w:sz w:val="28"/>
        </w:rPr>
        <w:t>Министерство рассматривает документы, указанные в пункте 11 настоящего Порядка, в 10-дневный срок, исчисляемый в рабочих днях, со дня их поступления.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В случае представления Организацией неполного пакета документов, указанных в пункте 11 настоящего порядка, или документов, не соответствующих требованиям пункта 11 настоящего Порядка, Министерство возвращает заявление и в пятидневный срок уведомляют Организацию с указанием причин возврата.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Организация со дня получения уведомления о возвращении заявления повторно представляет документы, указанные в пункте 11 настоящего Порядке, при условии выполнения требований, установленных настоящим Порядком.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13.</w:t>
      </w:r>
      <w:r w:rsidR="0098192D" w:rsidRPr="004B165E">
        <w:rPr>
          <w:sz w:val="28"/>
        </w:rPr>
        <w:t>Субсидия на выплату ежемесячной стимулирующей надбавки работникам – молодым специалистам предоставляется на основании типового соглашения о выплате ежемесячной стимулирующей надбавки работникам – молодым специалистам (далее – Соглашение), заключаемого между Министерством и Организацией.</w:t>
      </w:r>
    </w:p>
    <w:p w:rsidR="0098192D" w:rsidRPr="004B165E" w:rsidRDefault="0098192D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Соглашение заключается в 10-дневный срок со дня представления документов, указанных в пункте 11 настоящего Порядка.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14.</w:t>
      </w:r>
      <w:r w:rsidR="0098192D" w:rsidRPr="004B165E">
        <w:rPr>
          <w:sz w:val="28"/>
        </w:rPr>
        <w:t xml:space="preserve"> Министерство ежеквартально перечисляет субсидию на выплату ежемесячной стимулирующей надбавки работникам – молодым специалистам на лицевые счета организации.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15.</w:t>
      </w:r>
      <w:r w:rsidR="0098192D" w:rsidRPr="004B165E">
        <w:rPr>
          <w:sz w:val="28"/>
        </w:rPr>
        <w:t>Организация представляют в Министерство отчет об использовании субсидии на выплату ежемесячной стимулирующей надбавки работникам – молодым специалистам согласно срокам и форме, предусмотренным Соглашением.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16.</w:t>
      </w:r>
      <w:r w:rsidR="0098192D" w:rsidRPr="004B165E">
        <w:rPr>
          <w:sz w:val="28"/>
        </w:rPr>
        <w:t>Остатки субсидии, не использованные организацией в текущем финансовом году, подлежат перечислению в бюджет Республике Татарстан в установленном порядке.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17.</w:t>
      </w:r>
      <w:r w:rsidR="0098192D" w:rsidRPr="004B165E">
        <w:rPr>
          <w:sz w:val="28"/>
        </w:rPr>
        <w:t>При нарушении Организацией условий предоставления субсидий на основании письменного требования Министерства субсидии подлежат возврату в установленном порядке в бюджет РТ в течение 10 рабочих дней со дня получения соответствующего требования.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18.</w:t>
      </w:r>
      <w:r w:rsidR="0098192D" w:rsidRPr="004B165E">
        <w:rPr>
          <w:sz w:val="28"/>
        </w:rPr>
        <w:t xml:space="preserve"> Контроль за соблюдение организацией условий предоставления субсидий, а также заключенных соглашений осуществляется отраслевыми министерствами и уполномоченными органами государственного финансового контроля.</w:t>
      </w:r>
    </w:p>
    <w:p w:rsidR="0098192D" w:rsidRPr="004B165E" w:rsidRDefault="00B71559" w:rsidP="004B165E">
      <w:pPr>
        <w:pStyle w:val="a5"/>
        <w:ind w:firstLine="709"/>
        <w:jc w:val="both"/>
        <w:rPr>
          <w:sz w:val="28"/>
        </w:rPr>
      </w:pPr>
      <w:r w:rsidRPr="004B165E">
        <w:rPr>
          <w:sz w:val="28"/>
        </w:rPr>
        <w:t>19.</w:t>
      </w:r>
      <w:r w:rsidR="0098192D" w:rsidRPr="004B165E">
        <w:rPr>
          <w:sz w:val="28"/>
        </w:rPr>
        <w:t>Организация обеспечивают выплату ежемесячной стимулирующей надбавки работникам – молодым специалистам ежемесячно в сроки выплаты заработной платы, установленные Организациями.</w:t>
      </w:r>
    </w:p>
    <w:p w:rsidR="0098192D" w:rsidRPr="004B165E" w:rsidRDefault="0098192D" w:rsidP="004B165E">
      <w:pPr>
        <w:pStyle w:val="a5"/>
        <w:ind w:firstLine="709"/>
        <w:jc w:val="both"/>
        <w:rPr>
          <w:b/>
          <w:sz w:val="28"/>
        </w:rPr>
      </w:pPr>
    </w:p>
    <w:sectPr w:rsidR="0098192D" w:rsidRPr="004B165E" w:rsidSect="00021CFB">
      <w:pgSz w:w="11910" w:h="16840"/>
      <w:pgMar w:top="1040" w:right="700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820"/>
    <w:multiLevelType w:val="hybridMultilevel"/>
    <w:tmpl w:val="0CF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4199"/>
    <w:multiLevelType w:val="multilevel"/>
    <w:tmpl w:val="E7646B54"/>
    <w:lvl w:ilvl="0">
      <w:start w:val="3"/>
      <w:numFmt w:val="decimal"/>
      <w:lvlText w:val="%1"/>
      <w:lvlJc w:val="left"/>
      <w:pPr>
        <w:ind w:left="142" w:hanging="75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" w:hanging="759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hanging="75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91" w:hanging="7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3" w:hanging="7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4" w:hanging="7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5" w:hanging="759"/>
      </w:pPr>
      <w:rPr>
        <w:rFonts w:hint="default"/>
        <w:lang w:val="ru-RU" w:eastAsia="ru-RU" w:bidi="ru-RU"/>
      </w:rPr>
    </w:lvl>
  </w:abstractNum>
  <w:abstractNum w:abstractNumId="2">
    <w:nsid w:val="25BE14BB"/>
    <w:multiLevelType w:val="hybridMultilevel"/>
    <w:tmpl w:val="757CADC8"/>
    <w:lvl w:ilvl="0" w:tplc="5B4CCCC6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40567115"/>
    <w:multiLevelType w:val="hybridMultilevel"/>
    <w:tmpl w:val="48CC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618C"/>
    <w:rsid w:val="00021CFB"/>
    <w:rsid w:val="00062BC0"/>
    <w:rsid w:val="00154C85"/>
    <w:rsid w:val="001A6202"/>
    <w:rsid w:val="001D698A"/>
    <w:rsid w:val="002362E2"/>
    <w:rsid w:val="002513E9"/>
    <w:rsid w:val="00257E19"/>
    <w:rsid w:val="00286B71"/>
    <w:rsid w:val="002D1B12"/>
    <w:rsid w:val="00361E0A"/>
    <w:rsid w:val="00370BCB"/>
    <w:rsid w:val="003F6CE5"/>
    <w:rsid w:val="00410F22"/>
    <w:rsid w:val="00441239"/>
    <w:rsid w:val="004B165E"/>
    <w:rsid w:val="00544011"/>
    <w:rsid w:val="00577DA3"/>
    <w:rsid w:val="006117C7"/>
    <w:rsid w:val="00635D94"/>
    <w:rsid w:val="006B48F3"/>
    <w:rsid w:val="006E6C62"/>
    <w:rsid w:val="00702585"/>
    <w:rsid w:val="00761398"/>
    <w:rsid w:val="00781B1C"/>
    <w:rsid w:val="00794167"/>
    <w:rsid w:val="007E618C"/>
    <w:rsid w:val="007E6CE5"/>
    <w:rsid w:val="007E762D"/>
    <w:rsid w:val="007E7832"/>
    <w:rsid w:val="00897A75"/>
    <w:rsid w:val="008E354B"/>
    <w:rsid w:val="00905093"/>
    <w:rsid w:val="00940459"/>
    <w:rsid w:val="0096729B"/>
    <w:rsid w:val="009739BD"/>
    <w:rsid w:val="0098192D"/>
    <w:rsid w:val="00A32E02"/>
    <w:rsid w:val="00AA01AC"/>
    <w:rsid w:val="00AB118D"/>
    <w:rsid w:val="00B42CA1"/>
    <w:rsid w:val="00B669A7"/>
    <w:rsid w:val="00B71559"/>
    <w:rsid w:val="00BD6D55"/>
    <w:rsid w:val="00BE6F24"/>
    <w:rsid w:val="00CA0451"/>
    <w:rsid w:val="00CC26DC"/>
    <w:rsid w:val="00D325CF"/>
    <w:rsid w:val="00D563E2"/>
    <w:rsid w:val="00ED14F0"/>
    <w:rsid w:val="00F1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3E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513E9"/>
    <w:pPr>
      <w:ind w:left="3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3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13E9"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2513E9"/>
    <w:pPr>
      <w:ind w:left="142" w:right="14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513E9"/>
    <w:pPr>
      <w:ind w:left="200"/>
      <w:jc w:val="center"/>
    </w:pPr>
  </w:style>
  <w:style w:type="paragraph" w:customStyle="1" w:styleId="ConsPlusNormal">
    <w:name w:val="ConsPlusNormal"/>
    <w:rsid w:val="00D563E2"/>
    <w:rPr>
      <w:rFonts w:ascii="Calibri" w:eastAsia="Times New Roman" w:hAnsi="Calibri" w:cs="Calibri"/>
      <w:szCs w:val="20"/>
      <w:lang w:val="ru-RU" w:eastAsia="ru-RU"/>
    </w:rPr>
  </w:style>
  <w:style w:type="character" w:customStyle="1" w:styleId="8">
    <w:name w:val="Основной текст (8)"/>
    <w:basedOn w:val="a0"/>
    <w:link w:val="81"/>
    <w:uiPriority w:val="99"/>
    <w:rsid w:val="00D563E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4">
    <w:name w:val="Основной текст (8)4"/>
    <w:basedOn w:val="8"/>
    <w:uiPriority w:val="99"/>
    <w:rsid w:val="00D563E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563E2"/>
    <w:pPr>
      <w:widowControl/>
      <w:shd w:val="clear" w:color="auto" w:fill="FFFFFF"/>
      <w:autoSpaceDE/>
      <w:autoSpaceDN/>
      <w:spacing w:after="300" w:line="322" w:lineRule="exact"/>
    </w:pPr>
    <w:rPr>
      <w:rFonts w:eastAsiaTheme="minorHAnsi"/>
      <w:sz w:val="28"/>
      <w:szCs w:val="28"/>
      <w:lang w:val="en-US" w:eastAsia="en-US" w:bidi="ar-SA"/>
    </w:rPr>
  </w:style>
  <w:style w:type="character" w:customStyle="1" w:styleId="11">
    <w:name w:val="Основной текст (11)"/>
    <w:basedOn w:val="a0"/>
    <w:link w:val="111"/>
    <w:uiPriority w:val="99"/>
    <w:rsid w:val="00D563E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D563E2"/>
    <w:pPr>
      <w:widowControl/>
      <w:shd w:val="clear" w:color="auto" w:fill="FFFFFF"/>
      <w:autoSpaceDE/>
      <w:autoSpaceDN/>
      <w:spacing w:line="307" w:lineRule="exact"/>
      <w:jc w:val="right"/>
    </w:pPr>
    <w:rPr>
      <w:rFonts w:eastAsiaTheme="minorHAnsi"/>
      <w:sz w:val="28"/>
      <w:szCs w:val="28"/>
      <w:lang w:val="en-US" w:eastAsia="en-US" w:bidi="ar-SA"/>
    </w:rPr>
  </w:style>
  <w:style w:type="paragraph" w:styleId="a5">
    <w:name w:val="No Spacing"/>
    <w:uiPriority w:val="1"/>
    <w:qFormat/>
    <w:rsid w:val="00905093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25</cp:revision>
  <cp:lastPrinted>2019-12-12T13:06:00Z</cp:lastPrinted>
  <dcterms:created xsi:type="dcterms:W3CDTF">2019-03-12T10:20:00Z</dcterms:created>
  <dcterms:modified xsi:type="dcterms:W3CDTF">2020-04-17T05:46:00Z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2019-02-15T00:00:00Z</vt:filetime>
  </property>
</Properties>
</file>