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6E0FDA" w:rsidRDefault="0033656E" w:rsidP="006E0FDA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6E0FDA">
        <w:rPr>
          <w:rFonts w:ascii="Times New Roman" w:hAnsi="Times New Roman" w:cs="Times New Roman"/>
          <w:sz w:val="24"/>
          <w:szCs w:val="24"/>
        </w:rPr>
        <w:t xml:space="preserve"> </w:t>
      </w:r>
      <w:r w:rsidR="006E0FDA" w:rsidRPr="006E0FDA">
        <w:rPr>
          <w:rFonts w:ascii="Times New Roman" w:hAnsi="Times New Roman" w:cs="Times New Roman"/>
          <w:bCs/>
          <w:sz w:val="24"/>
          <w:szCs w:val="24"/>
        </w:rPr>
        <w:t xml:space="preserve">по назначению </w:t>
      </w:r>
    </w:p>
    <w:p w:rsidR="006E0FDA" w:rsidRDefault="006E0FDA" w:rsidP="006E0FDA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FDA">
        <w:rPr>
          <w:rFonts w:ascii="Times New Roman" w:hAnsi="Times New Roman" w:cs="Times New Roman"/>
          <w:sz w:val="24"/>
          <w:szCs w:val="24"/>
        </w:rPr>
        <w:t>единовременной к</w:t>
      </w:r>
      <w:r w:rsidRPr="006E0FDA">
        <w:rPr>
          <w:rFonts w:ascii="Times New Roman" w:hAnsi="Times New Roman" w:cs="Times New Roman"/>
          <w:bCs/>
          <w:sz w:val="24"/>
          <w:szCs w:val="24"/>
        </w:rPr>
        <w:t>омпенсации за вред здоровью гражданам,</w:t>
      </w:r>
    </w:p>
    <w:p w:rsidR="00010508" w:rsidRDefault="006E0FDA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E0FDA">
        <w:rPr>
          <w:rFonts w:ascii="Times New Roman" w:hAnsi="Times New Roman" w:cs="Times New Roman"/>
          <w:bCs/>
          <w:sz w:val="24"/>
          <w:szCs w:val="24"/>
        </w:rPr>
        <w:t>подвергшимся</w:t>
      </w:r>
      <w:proofErr w:type="gramEnd"/>
      <w:r w:rsidRPr="006E0FDA">
        <w:rPr>
          <w:rFonts w:ascii="Times New Roman" w:hAnsi="Times New Roman" w:cs="Times New Roman"/>
          <w:bCs/>
          <w:sz w:val="24"/>
          <w:szCs w:val="24"/>
        </w:rPr>
        <w:t xml:space="preserve"> воздействию радиации вследствие техногенных катастроф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6E0FDA">
        <w:rPr>
          <w:rFonts w:ascii="Times New Roman" w:eastAsia="Calibri" w:hAnsi="Times New Roman" w:cs="Times New Roman"/>
          <w:sz w:val="24"/>
          <w:szCs w:val="24"/>
        </w:rPr>
        <w:t>0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6E0FDA">
        <w:rPr>
          <w:rFonts w:ascii="Times New Roman" w:eastAsia="Calibri" w:hAnsi="Times New Roman" w:cs="Times New Roman"/>
          <w:sz w:val="24"/>
          <w:szCs w:val="24"/>
        </w:rPr>
        <w:t>543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6E0FDA" w:rsidRPr="006E0FDA">
        <w:rPr>
          <w:bCs/>
          <w:sz w:val="28"/>
          <w:szCs w:val="28"/>
        </w:rPr>
        <w:t xml:space="preserve"> </w:t>
      </w:r>
      <w:r w:rsidR="006E0FDA" w:rsidRPr="006E0FDA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6E0FDA" w:rsidRPr="006E0FDA">
        <w:rPr>
          <w:rFonts w:ascii="Times New Roman" w:hAnsi="Times New Roman" w:cs="Times New Roman"/>
          <w:sz w:val="28"/>
          <w:szCs w:val="28"/>
        </w:rPr>
        <w:t>единовременной к</w:t>
      </w:r>
      <w:r w:rsidR="006E0FDA" w:rsidRPr="006E0FDA">
        <w:rPr>
          <w:rFonts w:ascii="Times New Roman" w:hAnsi="Times New Roman" w:cs="Times New Roman"/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="00880AAB" w:rsidRPr="00880AAB">
        <w:rPr>
          <w:rFonts w:ascii="Times New Roman" w:hAnsi="Times New Roman" w:cs="Times New Roman"/>
          <w:sz w:val="28"/>
          <w:szCs w:val="28"/>
        </w:rPr>
        <w:t>,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Республики Татарстан от 1</w:t>
      </w:r>
      <w:r w:rsidR="006E0FDA">
        <w:rPr>
          <w:rFonts w:ascii="Times New Roman" w:eastAsia="Calibri" w:hAnsi="Times New Roman" w:cs="Times New Roman"/>
          <w:sz w:val="28"/>
          <w:szCs w:val="28"/>
        </w:rPr>
        <w:t>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.07.2012г.№5</w:t>
      </w:r>
      <w:r w:rsidR="006E0FDA">
        <w:rPr>
          <w:rFonts w:ascii="Times New Roman" w:eastAsia="Calibri" w:hAnsi="Times New Roman" w:cs="Times New Roman"/>
          <w:sz w:val="28"/>
          <w:szCs w:val="28"/>
        </w:rPr>
        <w:t>43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790B17">
        <w:rPr>
          <w:rFonts w:ascii="Times New Roman" w:hAnsi="Times New Roman" w:cs="Times New Roman"/>
          <w:sz w:val="28"/>
          <w:szCs w:val="28"/>
        </w:rPr>
        <w:t xml:space="preserve"> </w:t>
      </w:r>
      <w:r w:rsidR="00790B17" w:rsidRPr="00790B17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790B17" w:rsidRPr="00790B17">
        <w:rPr>
          <w:rFonts w:ascii="Times New Roman" w:hAnsi="Times New Roman" w:cs="Times New Roman"/>
          <w:sz w:val="28"/>
          <w:szCs w:val="28"/>
        </w:rPr>
        <w:t>единовременной к</w:t>
      </w:r>
      <w:r w:rsidR="00790B17" w:rsidRPr="00790B17">
        <w:rPr>
          <w:rFonts w:ascii="Times New Roman" w:hAnsi="Times New Roman" w:cs="Times New Roman"/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="00880AAB"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866B01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</w:t>
      </w:r>
      <w:r w:rsidRPr="003B19C4">
        <w:rPr>
          <w:rFonts w:ascii="Times New Roman" w:hAnsi="Times New Roman" w:cs="Times New Roman"/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790B17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790B17" w:rsidRPr="00790B17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790B17" w:rsidRPr="00790B17">
        <w:rPr>
          <w:rFonts w:ascii="Times New Roman" w:hAnsi="Times New Roman" w:cs="Times New Roman"/>
          <w:sz w:val="24"/>
          <w:szCs w:val="24"/>
        </w:rPr>
        <w:t>единовременной к</w:t>
      </w:r>
      <w:r w:rsidR="00790B17" w:rsidRPr="00790B17">
        <w:rPr>
          <w:rFonts w:ascii="Times New Roman" w:hAnsi="Times New Roman" w:cs="Times New Roman"/>
          <w:bCs/>
          <w:sz w:val="24"/>
          <w:szCs w:val="24"/>
        </w:rPr>
        <w:t>омпенсации за вред здоровью гражданам, подвергшимся воздействию радиации вследствие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790B17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790B17" w:rsidRPr="00790B17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назначению </w:t>
      </w:r>
      <w:r w:rsidR="00790B17" w:rsidRPr="00790B17">
        <w:rPr>
          <w:rFonts w:ascii="Times New Roman" w:hAnsi="Times New Roman" w:cs="Times New Roman"/>
          <w:b/>
          <w:sz w:val="28"/>
          <w:szCs w:val="28"/>
        </w:rPr>
        <w:t>единовременной к</w:t>
      </w:r>
      <w:r w:rsidR="00790B17" w:rsidRPr="00790B17">
        <w:rPr>
          <w:rFonts w:ascii="Times New Roman" w:hAnsi="Times New Roman" w:cs="Times New Roman"/>
          <w:b/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</w:p>
    <w:p w:rsidR="00D66B7A" w:rsidRPr="001A6112" w:rsidRDefault="00BE7514" w:rsidP="00D66B7A">
      <w:pPr>
        <w:widowControl w:val="0"/>
        <w:autoSpaceDE w:val="0"/>
        <w:autoSpaceDN w:val="0"/>
        <w:adjustRightInd w:val="0"/>
        <w:spacing w:after="0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6B7A">
        <w:rPr>
          <w:rFonts w:ascii="Times New Roman" w:hAnsi="Times New Roman" w:cs="Times New Roman"/>
          <w:sz w:val="28"/>
          <w:szCs w:val="28"/>
        </w:rPr>
        <w:t xml:space="preserve">. </w:t>
      </w:r>
      <w:r w:rsidR="00D66B7A" w:rsidRPr="00D66B7A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D66B7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="00D66B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(отдела)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11BC"/>
    <w:multiLevelType w:val="hybridMultilevel"/>
    <w:tmpl w:val="66740258"/>
    <w:lvl w:ilvl="0" w:tplc="059CA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30D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0FDA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B17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66B7A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2014-07-21T09:13:00Z</dcterms:created>
  <dcterms:modified xsi:type="dcterms:W3CDTF">2014-07-24T06:19:00Z</dcterms:modified>
</cp:coreProperties>
</file>