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4C" w:rsidRDefault="0096324C" w:rsidP="0096324C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6324C" w:rsidRDefault="0096324C" w:rsidP="0096324C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6324C" w:rsidRDefault="0096324C" w:rsidP="0096324C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МИНИСТЕРСТВО ТРУДА, ЗАНЯТОСТИ И СОЦИАЛЬНОЙ ЗАЩИТЫ РЕСПУБЛИКИ ТАТАРСТАН</w:t>
      </w:r>
    </w:p>
    <w:p w:rsidR="00CE1FB8" w:rsidRDefault="00CE1FB8" w:rsidP="00CE1FB8">
      <w:pPr>
        <w:ind w:right="4961"/>
      </w:pPr>
    </w:p>
    <w:p w:rsidR="00CE1FB8" w:rsidRDefault="00CE1FB8" w:rsidP="00CE1FB8">
      <w:pPr>
        <w:ind w:left="142" w:right="4961"/>
        <w:rPr>
          <w:sz w:val="28"/>
          <w:szCs w:val="28"/>
        </w:rPr>
      </w:pPr>
    </w:p>
    <w:p w:rsidR="00CE1FB8" w:rsidRDefault="00CE1FB8" w:rsidP="00CE1FB8">
      <w:pPr>
        <w:ind w:left="142" w:right="4961"/>
        <w:rPr>
          <w:sz w:val="28"/>
          <w:szCs w:val="28"/>
        </w:rPr>
      </w:pPr>
    </w:p>
    <w:p w:rsidR="00CE1FB8" w:rsidRPr="00CE1FB8" w:rsidRDefault="00CE1FB8" w:rsidP="00CE1FB8">
      <w:pPr>
        <w:ind w:left="142" w:right="4961"/>
      </w:pPr>
      <w:r w:rsidRPr="00CE1FB8">
        <w:t xml:space="preserve">Об утверждении </w:t>
      </w:r>
    </w:p>
    <w:p w:rsidR="00CE1FB8" w:rsidRPr="00CE1FB8" w:rsidRDefault="00CE1FB8" w:rsidP="00CE1FB8">
      <w:pPr>
        <w:ind w:left="142" w:right="4961"/>
      </w:pPr>
      <w:r w:rsidRPr="00CE1FB8">
        <w:t>формы отчета</w:t>
      </w:r>
    </w:p>
    <w:p w:rsidR="00CE1FB8" w:rsidRDefault="00CE1FB8" w:rsidP="00CE1FB8">
      <w:pPr>
        <w:tabs>
          <w:tab w:val="left" w:pos="1820"/>
        </w:tabs>
        <w:rPr>
          <w:b/>
          <w:sz w:val="12"/>
          <w:szCs w:val="12"/>
          <w:lang w:val="tt-RU"/>
        </w:rPr>
      </w:pPr>
    </w:p>
    <w:p w:rsidR="00CE1FB8" w:rsidRDefault="00CE1FB8" w:rsidP="00CE1FB8">
      <w:pPr>
        <w:tabs>
          <w:tab w:val="left" w:pos="1820"/>
        </w:tabs>
        <w:rPr>
          <w:b/>
          <w:sz w:val="12"/>
          <w:szCs w:val="12"/>
          <w:lang w:val="tt-RU"/>
        </w:rPr>
      </w:pPr>
    </w:p>
    <w:p w:rsidR="00CE1FB8" w:rsidRDefault="00CE1FB8" w:rsidP="00CE1FB8">
      <w:pPr>
        <w:tabs>
          <w:tab w:val="left" w:pos="1820"/>
        </w:tabs>
        <w:rPr>
          <w:b/>
          <w:sz w:val="12"/>
          <w:szCs w:val="12"/>
          <w:lang w:val="tt-RU"/>
        </w:rPr>
      </w:pPr>
    </w:p>
    <w:p w:rsidR="00CE1FB8" w:rsidRDefault="00CE1FB8" w:rsidP="00CE1FB8">
      <w:pPr>
        <w:tabs>
          <w:tab w:val="left" w:pos="1820"/>
        </w:tabs>
        <w:rPr>
          <w:b/>
          <w:sz w:val="12"/>
          <w:szCs w:val="12"/>
          <w:lang w:val="tt-RU"/>
        </w:rPr>
      </w:pPr>
      <w:r>
        <w:rPr>
          <w:b/>
          <w:sz w:val="12"/>
          <w:szCs w:val="12"/>
          <w:lang w:val="tt-RU"/>
        </w:rPr>
        <w:tab/>
      </w:r>
    </w:p>
    <w:p w:rsidR="00CE1FB8" w:rsidRDefault="00CE1FB8" w:rsidP="00CE1FB8">
      <w:pPr>
        <w:tabs>
          <w:tab w:val="left" w:pos="1820"/>
        </w:tabs>
        <w:rPr>
          <w:b/>
          <w:sz w:val="12"/>
          <w:szCs w:val="12"/>
          <w:lang w:val="tt-RU"/>
        </w:rPr>
      </w:pPr>
    </w:p>
    <w:p w:rsidR="00CE1FB8" w:rsidRDefault="00CE1FB8" w:rsidP="00CE1FB8">
      <w:pPr>
        <w:tabs>
          <w:tab w:val="left" w:pos="567"/>
          <w:tab w:val="left" w:pos="709"/>
          <w:tab w:val="left" w:pos="1820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Во исполнение пункта 6 </w:t>
      </w:r>
      <w:r w:rsidRPr="006C20A5">
        <w:rPr>
          <w:sz w:val="28"/>
          <w:szCs w:val="28"/>
          <w:lang w:val="tt-RU"/>
        </w:rPr>
        <w:t>Правил использования средств, предоставляемых в виде субсидии из федерального бюджета бюджету Республики Татарстан в целях софинансирования расходных обязательств Республики Татарстан, связанных с осуществлением ежемесячной денежной выплаты на ребенка в возрасте от 3 до 7 лет включительно</w:t>
      </w:r>
      <w:r>
        <w:rPr>
          <w:sz w:val="28"/>
          <w:szCs w:val="28"/>
          <w:lang w:val="tt-RU"/>
        </w:rPr>
        <w:t xml:space="preserve">, утвержденных </w:t>
      </w:r>
      <w:r w:rsidRPr="006C20A5">
        <w:rPr>
          <w:sz w:val="28"/>
          <w:szCs w:val="28"/>
          <w:lang w:val="tt-RU"/>
        </w:rPr>
        <w:t>постановлением Кабинета Министров Республики Татарстан от 02.05.2020 № 358 «Об утверждении Правил использования средств, предоставляемых в виде субсидии из федерального бюджета бюджету Республики Татарстан в целях софинансирования расходных обязательств Республики Татарстан, связанных с осуществлением ежемесячной денежной выплаты на ребенка в возрасте от 3 до 7 лет включительно»</w:t>
      </w:r>
      <w:r>
        <w:rPr>
          <w:sz w:val="28"/>
          <w:szCs w:val="28"/>
          <w:lang w:val="tt-RU"/>
        </w:rPr>
        <w:t xml:space="preserve"> </w:t>
      </w:r>
      <w:r w:rsidRPr="003D0E45">
        <w:rPr>
          <w:sz w:val="28"/>
          <w:szCs w:val="28"/>
        </w:rPr>
        <w:t>п р и к а з ы в а ю:</w:t>
      </w:r>
    </w:p>
    <w:p w:rsidR="00CE1FB8" w:rsidRDefault="00CE1FB8" w:rsidP="00CE1FB8">
      <w:pPr>
        <w:tabs>
          <w:tab w:val="left" w:pos="1820"/>
        </w:tabs>
        <w:jc w:val="both"/>
        <w:rPr>
          <w:b/>
          <w:sz w:val="12"/>
          <w:szCs w:val="12"/>
        </w:rPr>
      </w:pPr>
    </w:p>
    <w:p w:rsidR="00CE1FB8" w:rsidRDefault="00CE1FB8" w:rsidP="00CE1FB8">
      <w:pPr>
        <w:tabs>
          <w:tab w:val="left" w:pos="1820"/>
        </w:tabs>
        <w:jc w:val="both"/>
        <w:rPr>
          <w:b/>
          <w:sz w:val="12"/>
          <w:szCs w:val="12"/>
        </w:rPr>
      </w:pPr>
    </w:p>
    <w:p w:rsidR="00CE1FB8" w:rsidRDefault="00CE1FB8" w:rsidP="00CE1FB8">
      <w:pPr>
        <w:tabs>
          <w:tab w:val="left" w:pos="851"/>
          <w:tab w:val="left" w:pos="993"/>
          <w:tab w:val="left" w:pos="1276"/>
          <w:tab w:val="left" w:pos="1820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Pr="006C20A5">
        <w:rPr>
          <w:sz w:val="28"/>
          <w:szCs w:val="28"/>
          <w:lang w:val="tt-RU"/>
        </w:rPr>
        <w:t>1. Утвердить форм</w:t>
      </w:r>
      <w:r>
        <w:rPr>
          <w:sz w:val="28"/>
          <w:szCs w:val="28"/>
          <w:lang w:val="tt-RU"/>
        </w:rPr>
        <w:t>у</w:t>
      </w:r>
      <w:r w:rsidRPr="006C20A5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отчета </w:t>
      </w:r>
      <w:r w:rsidRPr="0080008B">
        <w:rPr>
          <w:sz w:val="28"/>
          <w:szCs w:val="28"/>
        </w:rPr>
        <w:t xml:space="preserve">об осуществлении расходов бюджета Республики Татарстан, источником финансового обеспечения которых является субсидия из федерального бюджета бюджету </w:t>
      </w:r>
      <w:r>
        <w:rPr>
          <w:sz w:val="28"/>
          <w:szCs w:val="28"/>
        </w:rPr>
        <w:t>Республики Татарстан</w:t>
      </w:r>
      <w:r w:rsidRPr="0080008B">
        <w:rPr>
          <w:sz w:val="28"/>
          <w:szCs w:val="28"/>
        </w:rPr>
        <w:t xml:space="preserve"> на </w:t>
      </w:r>
      <w:proofErr w:type="spellStart"/>
      <w:r w:rsidRPr="0080008B">
        <w:rPr>
          <w:sz w:val="28"/>
          <w:szCs w:val="28"/>
        </w:rPr>
        <w:t>софинансирование</w:t>
      </w:r>
      <w:proofErr w:type="spellEnd"/>
      <w:r w:rsidRPr="0080008B">
        <w:rPr>
          <w:sz w:val="28"/>
          <w:szCs w:val="28"/>
        </w:rPr>
        <w:t xml:space="preserve"> расходных обязательств </w:t>
      </w:r>
      <w:r>
        <w:rPr>
          <w:sz w:val="28"/>
          <w:szCs w:val="28"/>
        </w:rPr>
        <w:t>Республики Татарстан</w:t>
      </w:r>
      <w:r w:rsidRPr="0080008B">
        <w:rPr>
          <w:sz w:val="28"/>
          <w:szCs w:val="28"/>
        </w:rPr>
        <w:t xml:space="preserve">, возникающих при назначении ежемесячной денежной выплаты на детей в возрасте </w:t>
      </w:r>
      <w:r>
        <w:rPr>
          <w:sz w:val="28"/>
          <w:szCs w:val="28"/>
          <w:lang w:val="tt-RU"/>
        </w:rPr>
        <w:t>от 3 до 7 лет включительно (далее – отчет), согласно приложению.</w:t>
      </w:r>
    </w:p>
    <w:p w:rsidR="00CE1FB8" w:rsidRDefault="00CE1FB8" w:rsidP="00CE1FB8">
      <w:pPr>
        <w:tabs>
          <w:tab w:val="left" w:pos="1820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2. Директору ГКУ</w:t>
      </w:r>
      <w:r w:rsidRPr="009A693E">
        <w:rPr>
          <w:sz w:val="28"/>
          <w:szCs w:val="28"/>
          <w:lang w:val="tt-RU"/>
        </w:rPr>
        <w:t xml:space="preserve"> </w:t>
      </w:r>
      <w:r w:rsidRPr="006C20A5">
        <w:rPr>
          <w:sz w:val="28"/>
          <w:szCs w:val="28"/>
          <w:lang w:val="tt-RU"/>
        </w:rPr>
        <w:t>«</w:t>
      </w:r>
      <w:r w:rsidRPr="009A693E">
        <w:rPr>
          <w:sz w:val="28"/>
          <w:szCs w:val="28"/>
          <w:lang w:val="tt-RU"/>
        </w:rPr>
        <w:t>Республиканский центр материальной помощи (компенсационных выплат)</w:t>
      </w:r>
      <w:r w:rsidRPr="006C20A5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 xml:space="preserve"> Р.Р.Файзуллину, обеспечить предоставление ежемесячно, не позднее 8 числа месяца, следующего за отчетным месяцем, в отдел планирования, финансирования и оплаты труда (С.А.Колесникова) отчета по форме, утвержденной настоящим приказом.</w:t>
      </w:r>
    </w:p>
    <w:p w:rsidR="00CE1FB8" w:rsidRDefault="00CE1FB8" w:rsidP="00CE1FB8">
      <w:pPr>
        <w:tabs>
          <w:tab w:val="left" w:pos="567"/>
          <w:tab w:val="left" w:pos="709"/>
          <w:tab w:val="left" w:pos="1820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Pr="009A693E">
        <w:rPr>
          <w:sz w:val="28"/>
          <w:szCs w:val="28"/>
          <w:lang w:val="tt-RU"/>
        </w:rPr>
        <w:t xml:space="preserve">3. </w:t>
      </w:r>
      <w:r>
        <w:rPr>
          <w:sz w:val="28"/>
          <w:szCs w:val="28"/>
          <w:lang w:val="tt-RU"/>
        </w:rPr>
        <w:t xml:space="preserve">  </w:t>
      </w:r>
      <w:r w:rsidRPr="000724E0">
        <w:rPr>
          <w:sz w:val="28"/>
          <w:szCs w:val="28"/>
          <w:lang w:val="tt-RU"/>
        </w:rPr>
        <w:t xml:space="preserve">Установить, что действие настоящего </w:t>
      </w:r>
      <w:r>
        <w:rPr>
          <w:sz w:val="28"/>
          <w:szCs w:val="28"/>
          <w:lang w:val="tt-RU"/>
        </w:rPr>
        <w:t>приказа</w:t>
      </w:r>
      <w:r w:rsidRPr="000724E0">
        <w:rPr>
          <w:sz w:val="28"/>
          <w:szCs w:val="28"/>
          <w:lang w:val="tt-RU"/>
        </w:rPr>
        <w:t xml:space="preserve"> распространяется на правоотношения, возникающие</w:t>
      </w:r>
      <w:r>
        <w:rPr>
          <w:sz w:val="28"/>
          <w:szCs w:val="28"/>
          <w:lang w:val="tt-RU"/>
        </w:rPr>
        <w:t xml:space="preserve"> с</w:t>
      </w:r>
      <w:r w:rsidRPr="000724E0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5 мая 2020 года. </w:t>
      </w:r>
    </w:p>
    <w:p w:rsidR="00CE1FB8" w:rsidRPr="00FD56C2" w:rsidRDefault="00CE1FB8" w:rsidP="00CE1FB8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4.</w:t>
      </w:r>
      <w:r>
        <w:rPr>
          <w:sz w:val="28"/>
          <w:szCs w:val="28"/>
          <w:lang w:val="tt-RU"/>
        </w:rPr>
        <w:tab/>
        <w:t xml:space="preserve">    </w:t>
      </w:r>
      <w:r w:rsidRPr="00FD56C2">
        <w:rPr>
          <w:sz w:val="28"/>
          <w:szCs w:val="28"/>
          <w:lang w:val="tt-RU"/>
        </w:rPr>
        <w:t xml:space="preserve">Контроль за исполнением </w:t>
      </w:r>
      <w:r>
        <w:rPr>
          <w:sz w:val="28"/>
          <w:szCs w:val="28"/>
          <w:lang w:val="tt-RU"/>
        </w:rPr>
        <w:t xml:space="preserve">настоящего приказа возложить на </w:t>
      </w:r>
      <w:r w:rsidRPr="00FD56C2">
        <w:rPr>
          <w:sz w:val="28"/>
          <w:szCs w:val="28"/>
          <w:lang w:val="tt-RU"/>
        </w:rPr>
        <w:t>заместителя министра Э.Н.Нигметзянову.</w:t>
      </w:r>
    </w:p>
    <w:p w:rsidR="00CE1FB8" w:rsidRDefault="00CE1FB8" w:rsidP="00CE1FB8">
      <w:pPr>
        <w:widowControl w:val="0"/>
        <w:tabs>
          <w:tab w:val="left" w:pos="9781"/>
        </w:tabs>
        <w:autoSpaceDE w:val="0"/>
        <w:autoSpaceDN w:val="0"/>
        <w:adjustRightInd w:val="0"/>
        <w:ind w:right="-2"/>
        <w:rPr>
          <w:sz w:val="28"/>
          <w:szCs w:val="28"/>
        </w:rPr>
      </w:pPr>
    </w:p>
    <w:p w:rsidR="00CE1FB8" w:rsidRDefault="00CE1FB8" w:rsidP="00CE1FB8">
      <w:pPr>
        <w:widowControl w:val="0"/>
        <w:tabs>
          <w:tab w:val="left" w:pos="9781"/>
        </w:tabs>
        <w:autoSpaceDE w:val="0"/>
        <w:autoSpaceDN w:val="0"/>
        <w:adjustRightInd w:val="0"/>
        <w:ind w:right="-2"/>
        <w:rPr>
          <w:sz w:val="28"/>
          <w:szCs w:val="28"/>
        </w:rPr>
      </w:pPr>
    </w:p>
    <w:p w:rsidR="00CE1FB8" w:rsidRDefault="00CE1FB8" w:rsidP="00CE1FB8">
      <w:pPr>
        <w:widowControl w:val="0"/>
        <w:tabs>
          <w:tab w:val="left" w:pos="9781"/>
        </w:tabs>
        <w:autoSpaceDE w:val="0"/>
        <w:autoSpaceDN w:val="0"/>
        <w:adjustRightInd w:val="0"/>
        <w:ind w:right="-2"/>
      </w:pPr>
      <w:r>
        <w:rPr>
          <w:sz w:val="28"/>
          <w:szCs w:val="28"/>
        </w:rPr>
        <w:t>М</w:t>
      </w:r>
      <w:r w:rsidRPr="00626331">
        <w:rPr>
          <w:sz w:val="28"/>
          <w:szCs w:val="28"/>
        </w:rPr>
        <w:t xml:space="preserve">инистр                                   </w:t>
      </w:r>
      <w:r>
        <w:rPr>
          <w:sz w:val="28"/>
          <w:szCs w:val="28"/>
        </w:rPr>
        <w:t xml:space="preserve">          </w:t>
      </w:r>
      <w:r w:rsidRPr="0062633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Э.А.Зарипова</w:t>
      </w:r>
      <w:proofErr w:type="spellEnd"/>
    </w:p>
    <w:p w:rsidR="008E38AB" w:rsidRDefault="008E38AB"/>
    <w:p w:rsidR="00CE1FB8" w:rsidRDefault="00CE1FB8"/>
    <w:p w:rsidR="00CE1FB8" w:rsidRDefault="00CE1FB8"/>
    <w:p w:rsidR="00CE1FB8" w:rsidRDefault="00CE1FB8"/>
    <w:p w:rsidR="00CE1FB8" w:rsidRDefault="00CE1FB8"/>
    <w:p w:rsidR="00CE1FB8" w:rsidRDefault="00CE1FB8">
      <w:pPr>
        <w:sectPr w:rsidR="00CE1FB8" w:rsidSect="00CE1F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48" w:type="dxa"/>
        <w:tblLayout w:type="fixed"/>
        <w:tblLook w:val="04A0" w:firstRow="1" w:lastRow="0" w:firstColumn="1" w:lastColumn="0" w:noHBand="0" w:noVBand="1"/>
      </w:tblPr>
      <w:tblGrid>
        <w:gridCol w:w="993"/>
        <w:gridCol w:w="825"/>
        <w:gridCol w:w="734"/>
        <w:gridCol w:w="913"/>
        <w:gridCol w:w="678"/>
        <w:gridCol w:w="1235"/>
        <w:gridCol w:w="680"/>
        <w:gridCol w:w="1172"/>
        <w:gridCol w:w="978"/>
        <w:gridCol w:w="1313"/>
        <w:gridCol w:w="919"/>
        <w:gridCol w:w="499"/>
        <w:gridCol w:w="663"/>
        <w:gridCol w:w="612"/>
        <w:gridCol w:w="544"/>
        <w:gridCol w:w="602"/>
        <w:gridCol w:w="815"/>
        <w:gridCol w:w="851"/>
        <w:gridCol w:w="992"/>
        <w:gridCol w:w="118"/>
        <w:gridCol w:w="12"/>
      </w:tblGrid>
      <w:tr w:rsidR="00CE1FB8" w:rsidRPr="009B323E" w:rsidTr="00CE1FB8">
        <w:trPr>
          <w:gridAfter w:val="2"/>
          <w:wAfter w:w="130" w:type="dxa"/>
          <w:trHeight w:val="19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tabs>
                <w:tab w:val="left" w:pos="604"/>
              </w:tabs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Default="00CE1FB8" w:rsidP="00F65E82">
            <w:pPr>
              <w:rPr>
                <w:color w:val="000000"/>
              </w:rPr>
            </w:pPr>
          </w:p>
          <w:p w:rsidR="00CE1FB8" w:rsidRPr="009B323E" w:rsidRDefault="00CE1FB8" w:rsidP="00F65E82">
            <w:pPr>
              <w:rPr>
                <w:color w:val="000000"/>
              </w:rPr>
            </w:pPr>
            <w:r w:rsidRPr="009B323E">
              <w:rPr>
                <w:color w:val="000000"/>
              </w:rPr>
              <w:lastRenderedPageBreak/>
              <w:t>Приложение к приказу</w:t>
            </w:r>
            <w:r w:rsidRPr="009B323E">
              <w:rPr>
                <w:color w:val="000000"/>
              </w:rPr>
              <w:br/>
              <w:t>Министерства труда,</w:t>
            </w:r>
            <w:r w:rsidRPr="009B323E">
              <w:rPr>
                <w:color w:val="000000"/>
              </w:rPr>
              <w:br/>
              <w:t>занятости и социальной</w:t>
            </w:r>
            <w:r w:rsidRPr="009B323E">
              <w:rPr>
                <w:color w:val="000000"/>
              </w:rPr>
              <w:br/>
              <w:t>защиты Респуб</w:t>
            </w:r>
            <w:r>
              <w:rPr>
                <w:color w:val="000000"/>
              </w:rPr>
              <w:t>лики Татарстан</w:t>
            </w:r>
            <w:r>
              <w:rPr>
                <w:color w:val="000000"/>
              </w:rPr>
              <w:br/>
              <w:t>от ________</w:t>
            </w:r>
            <w:r w:rsidRPr="009B323E">
              <w:rPr>
                <w:color w:val="000000"/>
              </w:rPr>
              <w:t xml:space="preserve"> №__________</w:t>
            </w:r>
          </w:p>
        </w:tc>
      </w:tr>
      <w:tr w:rsidR="00CE1FB8" w:rsidRPr="009B323E" w:rsidTr="00CE1FB8">
        <w:trPr>
          <w:trHeight w:val="8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</w:tr>
      <w:tr w:rsidR="00CE1FB8" w:rsidRPr="009B323E" w:rsidTr="00F65E82">
        <w:trPr>
          <w:gridAfter w:val="1"/>
          <w:wAfter w:w="12" w:type="dxa"/>
          <w:trHeight w:val="1425"/>
        </w:trPr>
        <w:tc>
          <w:tcPr>
            <w:tcW w:w="161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FB8" w:rsidRPr="009B323E" w:rsidRDefault="00CE1FB8" w:rsidP="00CE1F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323E">
              <w:rPr>
                <w:b/>
                <w:bCs/>
                <w:color w:val="000000"/>
                <w:sz w:val="28"/>
                <w:szCs w:val="28"/>
              </w:rPr>
              <w:t xml:space="preserve">Отчет об осуществлении расходов бюджета Республики Татарстан, источником финансового обеспечения которых является субсидия из федерального бюджета бюджету Республики Татарстан на </w:t>
            </w:r>
            <w:proofErr w:type="spellStart"/>
            <w:r w:rsidRPr="009B323E">
              <w:rPr>
                <w:b/>
                <w:bCs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9B323E">
              <w:rPr>
                <w:b/>
                <w:bCs/>
                <w:color w:val="000000"/>
                <w:sz w:val="28"/>
                <w:szCs w:val="28"/>
              </w:rPr>
              <w:t xml:space="preserve"> расходных обяз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ательств Республики Татарстан, </w:t>
            </w:r>
            <w:r w:rsidRPr="009B323E">
              <w:rPr>
                <w:b/>
                <w:bCs/>
                <w:color w:val="000000"/>
                <w:sz w:val="28"/>
                <w:szCs w:val="28"/>
              </w:rPr>
              <w:t>возникающих при назначении ежемесячной денежной выплаты на детей в возрасте от 3 до 7 лет включительно за __________ месяц  20_____ г.</w:t>
            </w:r>
          </w:p>
        </w:tc>
      </w:tr>
      <w:tr w:rsidR="00CE1FB8" w:rsidRPr="009B323E" w:rsidTr="00CE1FB8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</w:tr>
      <w:tr w:rsidR="00CE1FB8" w:rsidRPr="009B323E" w:rsidTr="00F65E82">
        <w:trPr>
          <w:gridAfter w:val="1"/>
          <w:wAfter w:w="12" w:type="dxa"/>
          <w:trHeight w:val="315"/>
        </w:trPr>
        <w:tc>
          <w:tcPr>
            <w:tcW w:w="161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</w:tr>
      <w:tr w:rsidR="00CE1FB8" w:rsidRPr="009B323E" w:rsidTr="00CE1FB8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CE1FB8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</w:tr>
      <w:tr w:rsidR="00CE1FB8" w:rsidRPr="009B323E" w:rsidTr="00CE1FB8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Остаток средств федерального бюджета на начало отчетного периода (рублей)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Возвращено неиспользованных остатков прошлых лет в федеральный бюджет (рублей)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Предусмотрено средств на ежемесячную денежную выплату на текущий год; БЕЗ учета доставки (рублей)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Объем средств, предоставленных из федерального бюджета в бюджет субъекта Российской Федерации (рублей)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Размер ежемесячной денежной выплаты (рублей)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 xml:space="preserve">Количество произведенных ежемесячных денежных выплат (всего, нарастающим итогом с </w:t>
            </w:r>
            <w:r w:rsidRPr="009B323E">
              <w:rPr>
                <w:b/>
                <w:bCs/>
                <w:color w:val="000000"/>
              </w:rPr>
              <w:lastRenderedPageBreak/>
              <w:t>начала года)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lastRenderedPageBreak/>
              <w:t xml:space="preserve">Восстановлено средств федерального бюджета в бюджет субъекта Российской Федерации </w:t>
            </w:r>
            <w:r w:rsidRPr="009B323E">
              <w:rPr>
                <w:b/>
                <w:bCs/>
                <w:color w:val="000000"/>
              </w:rPr>
              <w:br/>
              <w:t>(гр.12 + гр.14) (рублей)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в том числе: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Произведено расходов на ежемесячную денежную выплату в отчетном периоде (кассовые расходы) (рублей)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Произведено расходов на ежемесячную денежную выплату нарастающим итогом с начала отчетного года (кассовые расходы) (рублей)</w:t>
            </w:r>
          </w:p>
        </w:tc>
        <w:tc>
          <w:tcPr>
            <w:tcW w:w="11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 xml:space="preserve">Остаток средств федерального бюджета на конец отчетного периода </w:t>
            </w:r>
            <w:r w:rsidRPr="009B323E">
              <w:rPr>
                <w:b/>
                <w:bCs/>
                <w:color w:val="000000"/>
              </w:rPr>
              <w:br/>
              <w:t xml:space="preserve">(гр.1 - </w:t>
            </w:r>
            <w:r w:rsidRPr="009B323E">
              <w:rPr>
                <w:b/>
                <w:bCs/>
                <w:color w:val="000000"/>
              </w:rPr>
              <w:br/>
              <w:t xml:space="preserve">гр.3 + </w:t>
            </w:r>
            <w:r w:rsidRPr="009B323E">
              <w:rPr>
                <w:b/>
                <w:bCs/>
                <w:color w:val="000000"/>
              </w:rPr>
              <w:br/>
              <w:t xml:space="preserve">гр.7 + </w:t>
            </w:r>
            <w:r w:rsidRPr="009B323E">
              <w:rPr>
                <w:b/>
                <w:bCs/>
                <w:color w:val="000000"/>
              </w:rPr>
              <w:br/>
              <w:t xml:space="preserve">гр.10 - </w:t>
            </w:r>
            <w:r w:rsidRPr="009B323E">
              <w:rPr>
                <w:b/>
                <w:bCs/>
                <w:color w:val="000000"/>
              </w:rPr>
              <w:br/>
              <w:t xml:space="preserve">гр.16) </w:t>
            </w:r>
            <w:r w:rsidRPr="009B323E">
              <w:rPr>
                <w:b/>
                <w:bCs/>
                <w:color w:val="000000"/>
              </w:rPr>
              <w:br/>
              <w:t>(рублей)</w:t>
            </w:r>
          </w:p>
        </w:tc>
      </w:tr>
      <w:tr w:rsidR="00CE1FB8" w:rsidRPr="009B323E" w:rsidTr="00CE1FB8">
        <w:trPr>
          <w:trHeight w:val="163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прошлых лет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текущего периода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</w:tr>
      <w:tr w:rsidR="00CE1FB8" w:rsidRPr="009B323E" w:rsidTr="00CE1FB8">
        <w:trPr>
          <w:trHeight w:val="177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всего, нарастающим итогом с начала года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в отчетном периоде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 xml:space="preserve">за счет </w:t>
            </w:r>
            <w:proofErr w:type="spellStart"/>
            <w:r w:rsidRPr="009B323E">
              <w:rPr>
                <w:b/>
                <w:bCs/>
                <w:color w:val="000000"/>
              </w:rPr>
              <w:t>федераль</w:t>
            </w:r>
            <w:proofErr w:type="spellEnd"/>
            <w:r w:rsidRPr="009B323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B323E">
              <w:rPr>
                <w:b/>
                <w:bCs/>
                <w:color w:val="000000"/>
              </w:rPr>
              <w:t>ного</w:t>
            </w:r>
            <w:proofErr w:type="spellEnd"/>
            <w:r w:rsidRPr="009B323E">
              <w:rPr>
                <w:b/>
                <w:bCs/>
                <w:color w:val="000000"/>
              </w:rPr>
              <w:t xml:space="preserve"> бюджета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 xml:space="preserve">всего, нарастаю </w:t>
            </w:r>
            <w:proofErr w:type="spellStart"/>
            <w:r w:rsidRPr="009B323E">
              <w:rPr>
                <w:b/>
                <w:bCs/>
                <w:color w:val="000000"/>
              </w:rPr>
              <w:t>щим</w:t>
            </w:r>
            <w:proofErr w:type="spellEnd"/>
            <w:r w:rsidRPr="009B323E">
              <w:rPr>
                <w:b/>
                <w:bCs/>
                <w:color w:val="000000"/>
              </w:rPr>
              <w:t xml:space="preserve"> итогом с начала года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в отчетном периоде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всего нарастающим итогом с начала года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в том числе в отчетном периоде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всего нарастающим итогом с начала года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в том числе в отчетном периоде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в том числе за счет федерального бюджета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в том числе за счет федерального бюджета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B8" w:rsidRPr="009B323E" w:rsidRDefault="00CE1FB8" w:rsidP="00F65E82">
            <w:pPr>
              <w:rPr>
                <w:b/>
                <w:bCs/>
                <w:color w:val="000000"/>
              </w:rPr>
            </w:pPr>
          </w:p>
        </w:tc>
      </w:tr>
      <w:tr w:rsidR="00CE1FB8" w:rsidRPr="009B323E" w:rsidTr="00CE1FB8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11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13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14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15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18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center"/>
              <w:rPr>
                <w:b/>
                <w:bCs/>
                <w:color w:val="000000"/>
              </w:rPr>
            </w:pPr>
            <w:r w:rsidRPr="009B323E">
              <w:rPr>
                <w:b/>
                <w:bCs/>
                <w:color w:val="000000"/>
              </w:rPr>
              <w:t>19</w:t>
            </w:r>
          </w:p>
        </w:tc>
      </w:tr>
      <w:tr w:rsidR="00CE1FB8" w:rsidRPr="009B323E" w:rsidTr="00CE1FB8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  <w:r w:rsidRPr="009B323E">
              <w:rPr>
                <w:color w:val="000000"/>
              </w:rPr>
              <w:t> </w:t>
            </w:r>
          </w:p>
        </w:tc>
      </w:tr>
      <w:tr w:rsidR="00CE1FB8" w:rsidRPr="009B323E" w:rsidTr="00CE1FB8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jc w:val="right"/>
              <w:rPr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</w:tr>
      <w:tr w:rsidR="00CE1FB8" w:rsidRPr="009B323E" w:rsidTr="00CE1FB8">
        <w:trPr>
          <w:trHeight w:val="6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</w:tr>
      <w:tr w:rsidR="00CE1FB8" w:rsidRPr="009B323E" w:rsidTr="00A9332A">
        <w:trPr>
          <w:trHeight w:val="9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1FB8" w:rsidRPr="009B323E" w:rsidRDefault="00CE1FB8" w:rsidP="00CE1F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FB8" w:rsidRPr="009B323E" w:rsidRDefault="00CE1FB8" w:rsidP="00F65E8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_____________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</w:tr>
      <w:tr w:rsidR="00CE1FB8" w:rsidRPr="009B323E" w:rsidTr="00D710DE">
        <w:trPr>
          <w:trHeight w:val="37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Default="00CE1FB8" w:rsidP="00F65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E1FB8" w:rsidRDefault="00CE1FB8" w:rsidP="00F65E82">
            <w:pPr>
              <w:rPr>
                <w:sz w:val="20"/>
                <w:szCs w:val="20"/>
              </w:rPr>
            </w:pPr>
          </w:p>
          <w:p w:rsidR="00CE1FB8" w:rsidRDefault="00CE1FB8" w:rsidP="00F65E82">
            <w:pPr>
              <w:rPr>
                <w:sz w:val="20"/>
                <w:szCs w:val="20"/>
              </w:rPr>
            </w:pPr>
          </w:p>
          <w:p w:rsidR="00CE1FB8" w:rsidRPr="009B323E" w:rsidRDefault="00CE1FB8" w:rsidP="00CE1FB8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CE1FB8">
              <w:rPr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FB8" w:rsidRPr="009B323E" w:rsidRDefault="00CE1FB8" w:rsidP="00F65E82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1FB8" w:rsidRDefault="00CE1FB8" w:rsidP="00CE1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E1FB8" w:rsidRDefault="00CE1FB8" w:rsidP="00CE1FB8">
            <w:pPr>
              <w:jc w:val="center"/>
              <w:rPr>
                <w:sz w:val="20"/>
                <w:szCs w:val="20"/>
              </w:rPr>
            </w:pPr>
          </w:p>
          <w:p w:rsidR="00CE1FB8" w:rsidRDefault="00CE1FB8" w:rsidP="00CE1FB8">
            <w:pPr>
              <w:jc w:val="center"/>
              <w:rPr>
                <w:sz w:val="20"/>
                <w:szCs w:val="20"/>
              </w:rPr>
            </w:pPr>
          </w:p>
          <w:p w:rsidR="00CE1FB8" w:rsidRDefault="00CE1FB8" w:rsidP="00CE1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</w:p>
          <w:p w:rsidR="00CE1FB8" w:rsidRPr="009B323E" w:rsidRDefault="00CE1FB8" w:rsidP="00CE1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</w:tr>
      <w:tr w:rsidR="00CE1FB8" w:rsidRPr="009B323E" w:rsidTr="00CE1FB8">
        <w:trPr>
          <w:trHeight w:val="37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</w:tr>
      <w:tr w:rsidR="00CE1FB8" w:rsidRPr="009B323E" w:rsidTr="00CE1FB8">
        <w:trPr>
          <w:trHeight w:val="37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FB8" w:rsidRPr="009B323E" w:rsidRDefault="00CE1FB8" w:rsidP="00F65E82">
            <w:pPr>
              <w:rPr>
                <w:sz w:val="20"/>
                <w:szCs w:val="20"/>
              </w:rPr>
            </w:pPr>
          </w:p>
        </w:tc>
      </w:tr>
    </w:tbl>
    <w:p w:rsidR="00375701" w:rsidRDefault="00375701" w:rsidP="00375701">
      <w:pPr>
        <w:rPr>
          <w:color w:val="000000"/>
          <w:sz w:val="28"/>
          <w:szCs w:val="28"/>
        </w:rPr>
      </w:pPr>
      <w:r w:rsidRPr="00375701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</w:t>
      </w:r>
      <w:r w:rsidRPr="00375701">
        <w:rPr>
          <w:color w:val="000000"/>
          <w:sz w:val="28"/>
          <w:szCs w:val="28"/>
        </w:rPr>
        <w:t>Исполнитель</w:t>
      </w:r>
      <w:r>
        <w:rPr>
          <w:color w:val="000000"/>
          <w:sz w:val="28"/>
          <w:szCs w:val="28"/>
        </w:rPr>
        <w:t xml:space="preserve">                             _____________</w:t>
      </w:r>
    </w:p>
    <w:p w:rsidR="00375701" w:rsidRDefault="00375701" w:rsidP="00375701">
      <w:pPr>
        <w:ind w:left="5664" w:firstLine="708"/>
        <w:rPr>
          <w:sz w:val="20"/>
          <w:szCs w:val="20"/>
        </w:rPr>
      </w:pPr>
      <w:r>
        <w:rPr>
          <w:color w:val="000000"/>
          <w:sz w:val="28"/>
          <w:szCs w:val="28"/>
        </w:rPr>
        <w:t xml:space="preserve">     </w:t>
      </w:r>
      <w:r w:rsidRPr="00375701">
        <w:rPr>
          <w:sz w:val="20"/>
          <w:szCs w:val="20"/>
        </w:rPr>
        <w:t>(подпись)</w:t>
      </w:r>
    </w:p>
    <w:p w:rsidR="00375701" w:rsidRDefault="00375701" w:rsidP="00375701">
      <w:pPr>
        <w:rPr>
          <w:sz w:val="20"/>
          <w:szCs w:val="20"/>
        </w:rPr>
      </w:pPr>
    </w:p>
    <w:p w:rsidR="00375701" w:rsidRDefault="00375701" w:rsidP="00375701">
      <w:pPr>
        <w:rPr>
          <w:sz w:val="20"/>
          <w:szCs w:val="20"/>
        </w:rPr>
      </w:pPr>
    </w:p>
    <w:p w:rsidR="00375701" w:rsidRPr="00375701" w:rsidRDefault="00375701" w:rsidP="00375701">
      <w:pPr>
        <w:rPr>
          <w:color w:val="000000"/>
          <w:sz w:val="28"/>
          <w:szCs w:val="28"/>
        </w:rPr>
      </w:pP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375701">
        <w:rPr>
          <w:color w:val="000000"/>
          <w:sz w:val="28"/>
          <w:szCs w:val="28"/>
        </w:rPr>
        <w:t>М.П.</w:t>
      </w:r>
    </w:p>
    <w:sectPr w:rsidR="00375701" w:rsidRPr="00375701" w:rsidSect="007307AF">
      <w:pgSz w:w="16838" w:h="11906" w:orient="landscape"/>
      <w:pgMar w:top="62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4C"/>
    <w:rsid w:val="00375701"/>
    <w:rsid w:val="008E38AB"/>
    <w:rsid w:val="0096324C"/>
    <w:rsid w:val="00C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BC64"/>
  <w15:chartTrackingRefBased/>
  <w15:docId w15:val="{A4C8E45B-E737-4DA8-B18B-D1310C2B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32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Горшунова Елена Владимировна</dc:creator>
  <cp:keywords/>
  <dc:description/>
  <cp:lastModifiedBy>Горшунова Елена Владимировна</cp:lastModifiedBy>
  <cp:revision>1</cp:revision>
  <dcterms:created xsi:type="dcterms:W3CDTF">2020-09-21T08:16:00Z</dcterms:created>
  <dcterms:modified xsi:type="dcterms:W3CDTF">2020-09-21T09:52:00Z</dcterms:modified>
</cp:coreProperties>
</file>