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7" w:rsidRDefault="00F47B57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14F" w:rsidRDefault="00AA54C8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DC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A2A18">
        <w:rPr>
          <w:rFonts w:ascii="Times New Roman" w:hAnsi="Times New Roman" w:cs="Times New Roman"/>
          <w:sz w:val="28"/>
          <w:szCs w:val="28"/>
        </w:rPr>
        <w:t xml:space="preserve">в </w:t>
      </w:r>
      <w:r w:rsidR="0003014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1008" w:rsidRDefault="0003014F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5A10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3014F" w:rsidRDefault="005A1008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3014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14F">
        <w:rPr>
          <w:rFonts w:ascii="Times New Roman" w:hAnsi="Times New Roman" w:cs="Times New Roman"/>
          <w:sz w:val="28"/>
          <w:szCs w:val="28"/>
        </w:rPr>
        <w:t>18.04.2017 № 2342 «Об утверждении»</w:t>
      </w:r>
    </w:p>
    <w:p w:rsidR="008B10A8" w:rsidRDefault="0003014F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50F6A">
        <w:rPr>
          <w:rFonts w:ascii="Times New Roman" w:hAnsi="Times New Roman" w:cs="Times New Roman"/>
          <w:sz w:val="28"/>
          <w:szCs w:val="28"/>
        </w:rPr>
        <w:t>о</w:t>
      </w:r>
      <w:r w:rsidR="009130B3">
        <w:rPr>
          <w:rFonts w:ascii="Times New Roman" w:hAnsi="Times New Roman" w:cs="Times New Roman"/>
          <w:sz w:val="28"/>
          <w:szCs w:val="28"/>
        </w:rPr>
        <w:t xml:space="preserve"> порядке размещения сезонных </w:t>
      </w:r>
    </w:p>
    <w:p w:rsidR="008B10A8" w:rsidRDefault="009130B3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</w:t>
      </w:r>
      <w:r w:rsidR="008B1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торговых объектов </w:t>
      </w:r>
    </w:p>
    <w:p w:rsidR="009130B3" w:rsidRPr="00CC6DC6" w:rsidRDefault="009130B3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объектов общественного питания </w:t>
      </w:r>
    </w:p>
    <w:p w:rsidR="008B10A8" w:rsidRDefault="00A9514A" w:rsidP="00A95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DC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</w:p>
    <w:p w:rsidR="0003014F" w:rsidRDefault="00A9514A" w:rsidP="008B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DC6">
        <w:rPr>
          <w:rFonts w:ascii="Times New Roman" w:hAnsi="Times New Roman" w:cs="Times New Roman"/>
          <w:sz w:val="28"/>
          <w:szCs w:val="28"/>
        </w:rPr>
        <w:t>образования</w:t>
      </w:r>
      <w:r w:rsidR="008B10A8">
        <w:rPr>
          <w:rFonts w:ascii="Times New Roman" w:hAnsi="Times New Roman" w:cs="Times New Roman"/>
          <w:sz w:val="28"/>
          <w:szCs w:val="28"/>
        </w:rPr>
        <w:t xml:space="preserve"> </w:t>
      </w:r>
      <w:r w:rsidRPr="00CC6DC6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3014F">
        <w:rPr>
          <w:rFonts w:ascii="Times New Roman" w:hAnsi="Times New Roman" w:cs="Times New Roman"/>
          <w:sz w:val="28"/>
          <w:szCs w:val="28"/>
        </w:rPr>
        <w:t>»</w:t>
      </w:r>
    </w:p>
    <w:p w:rsidR="008B10A8" w:rsidRDefault="009130B3" w:rsidP="008B1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0B3" w:rsidRPr="00CC6DC6" w:rsidRDefault="009130B3" w:rsidP="00913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CFE" w:rsidRPr="00123CFE" w:rsidRDefault="00123CFE" w:rsidP="00123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C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123C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3CFE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3CFE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3CF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3CFE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123C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3CFE">
        <w:rPr>
          <w:rFonts w:ascii="Times New Roman" w:hAnsi="Times New Roman" w:cs="Times New Roman"/>
          <w:sz w:val="28"/>
          <w:szCs w:val="28"/>
        </w:rPr>
        <w:t xml:space="preserve"> от 28.12.2009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3CFE">
        <w:rPr>
          <w:rFonts w:ascii="Times New Roman" w:hAnsi="Times New Roman" w:cs="Times New Roman"/>
          <w:sz w:val="28"/>
          <w:szCs w:val="28"/>
        </w:rPr>
        <w:t xml:space="preserve"> 381-ФЗ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3CFE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3CF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3CFE">
          <w:rPr>
            <w:rFonts w:ascii="Times New Roman" w:hAnsi="Times New Roman" w:cs="Times New Roman"/>
            <w:sz w:val="28"/>
            <w:szCs w:val="28"/>
          </w:rPr>
          <w:t>пунктом 5.24</w:t>
        </w:r>
      </w:hyperlink>
      <w:r w:rsidRPr="00123CFE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3CFE">
        <w:rPr>
          <w:rFonts w:ascii="Times New Roman" w:hAnsi="Times New Roman" w:cs="Times New Roman"/>
          <w:sz w:val="28"/>
          <w:szCs w:val="28"/>
        </w:rPr>
        <w:t xml:space="preserve"> 19/8</w:t>
      </w:r>
    </w:p>
    <w:p w:rsidR="00AA54C8" w:rsidRDefault="00AA54C8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A18" w:rsidRPr="00CC6DC6" w:rsidRDefault="003A2A18" w:rsidP="00AA5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4C8" w:rsidRPr="00CC6DC6" w:rsidRDefault="00AA54C8" w:rsidP="00AA5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DC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A54C8" w:rsidRPr="00CC6DC6" w:rsidRDefault="00AA54C8" w:rsidP="00AA5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14F" w:rsidRDefault="00A14C43" w:rsidP="00030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3C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9514A" w:rsidRPr="00CC6DC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014F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</w:t>
      </w:r>
      <w:r w:rsidR="0003014F" w:rsidRPr="00CC6DC6">
        <w:rPr>
          <w:rFonts w:ascii="Times New Roman" w:hAnsi="Times New Roman" w:cs="Times New Roman"/>
          <w:sz w:val="28"/>
          <w:szCs w:val="28"/>
        </w:rPr>
        <w:t>18.04.2017 № 2342</w:t>
      </w:r>
      <w:r w:rsidR="0003014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размещения сезонных нестационарных торговых объектов и объектов общественного питания </w:t>
      </w:r>
      <w:r w:rsidR="0003014F" w:rsidRPr="00CC6DC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03014F">
        <w:rPr>
          <w:rFonts w:ascii="Times New Roman" w:hAnsi="Times New Roman" w:cs="Times New Roman"/>
          <w:sz w:val="28"/>
          <w:szCs w:val="28"/>
        </w:rPr>
        <w:t xml:space="preserve"> </w:t>
      </w:r>
      <w:r w:rsidR="0003014F" w:rsidRPr="00CC6DC6">
        <w:rPr>
          <w:rFonts w:ascii="Times New Roman" w:hAnsi="Times New Roman" w:cs="Times New Roman"/>
          <w:sz w:val="28"/>
          <w:szCs w:val="28"/>
        </w:rPr>
        <w:t>город Набережные Челны</w:t>
      </w:r>
      <w:bookmarkEnd w:id="0"/>
      <w:r w:rsidR="0003014F">
        <w:rPr>
          <w:rFonts w:ascii="Times New Roman" w:hAnsi="Times New Roman" w:cs="Times New Roman"/>
          <w:sz w:val="28"/>
          <w:szCs w:val="28"/>
        </w:rPr>
        <w:t xml:space="preserve">» (в редакции постановлений Исполнительного комитета от 23.01.2018 № 251, от 26.03.2021                     </w:t>
      </w:r>
    </w:p>
    <w:p w:rsidR="0003014F" w:rsidRPr="00CC6DC6" w:rsidRDefault="0003014F" w:rsidP="00030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2090) следующие изменения</w:t>
      </w:r>
      <w:r w:rsidRPr="00CC6DC6">
        <w:rPr>
          <w:rFonts w:ascii="Times New Roman" w:hAnsi="Times New Roman" w:cs="Times New Roman"/>
          <w:sz w:val="28"/>
          <w:szCs w:val="28"/>
        </w:rPr>
        <w:t>:</w:t>
      </w:r>
    </w:p>
    <w:p w:rsidR="0003014F" w:rsidRDefault="0003014F" w:rsidP="00030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положении о порядке размещения сезонных нестационарных торговых объектов и объектов общественного питания </w:t>
      </w:r>
      <w:r w:rsidRPr="00CC6DC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DC6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1B92" w:rsidRDefault="005D1B92" w:rsidP="00030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11 изложить в следующей редакции:</w:t>
      </w:r>
    </w:p>
    <w:p w:rsidR="005D1B92" w:rsidRDefault="005D1B92" w:rsidP="005665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 Предоставление заявителям права на размещение сезонных нестационарных торговых объектов и объектов общественного питания</w:t>
      </w:r>
      <w:r w:rsidR="0056652B">
        <w:rPr>
          <w:rFonts w:ascii="Times New Roman" w:hAnsi="Times New Roman" w:cs="Times New Roman"/>
          <w:sz w:val="28"/>
          <w:szCs w:val="28"/>
        </w:rPr>
        <w:t xml:space="preserve"> в местах</w:t>
      </w:r>
      <w:r>
        <w:rPr>
          <w:rFonts w:ascii="Times New Roman" w:hAnsi="Times New Roman" w:cs="Times New Roman"/>
          <w:sz w:val="28"/>
          <w:szCs w:val="28"/>
        </w:rPr>
        <w:t>, определенных схемой размещения сезонных неста</w:t>
      </w:r>
      <w:r w:rsidR="0056652B">
        <w:rPr>
          <w:rFonts w:ascii="Times New Roman" w:hAnsi="Times New Roman" w:cs="Times New Roman"/>
          <w:sz w:val="28"/>
          <w:szCs w:val="28"/>
        </w:rPr>
        <w:t>ционарных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 осуществляется на основании договора на право размещения сезонного нестационарного торгового объекта, заключаемого по результатам проведения электронных аукционов либо без проведения торгов, в случаях, установленных настоящим По</w:t>
      </w:r>
      <w:r w:rsidR="0056652B">
        <w:rPr>
          <w:rFonts w:ascii="Times New Roman" w:hAnsi="Times New Roman" w:cs="Times New Roman"/>
          <w:sz w:val="28"/>
          <w:szCs w:val="28"/>
        </w:rPr>
        <w:t>ложением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56652B">
        <w:rPr>
          <w:rFonts w:ascii="Times New Roman" w:hAnsi="Times New Roman" w:cs="Times New Roman"/>
          <w:sz w:val="28"/>
          <w:szCs w:val="28"/>
        </w:rPr>
        <w:t>;</w:t>
      </w:r>
    </w:p>
    <w:p w:rsidR="0003014F" w:rsidRDefault="0003014F" w:rsidP="00030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308">
        <w:rPr>
          <w:rFonts w:ascii="Times New Roman" w:hAnsi="Times New Roman" w:cs="Times New Roman"/>
          <w:sz w:val="28"/>
          <w:szCs w:val="28"/>
        </w:rPr>
        <w:t>абзац первый и второй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12 изложить в следующей редакции:</w:t>
      </w:r>
    </w:p>
    <w:p w:rsidR="0003014F" w:rsidRDefault="0003014F" w:rsidP="00030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«12.</w:t>
      </w:r>
      <w:r w:rsidRPr="00944694">
        <w:t xml:space="preserve"> </w:t>
      </w:r>
      <w:r w:rsidRPr="00944694">
        <w:rPr>
          <w:rFonts w:ascii="Times New Roman" w:hAnsi="Times New Roman" w:cs="Times New Roman"/>
          <w:sz w:val="28"/>
          <w:szCs w:val="28"/>
        </w:rPr>
        <w:t>Право размещения сезонных кафе при стационарных объектах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питания на территории муниципального образования город Набережные Челны</w:t>
      </w:r>
      <w:r w:rsidRPr="00944694">
        <w:rPr>
          <w:rFonts w:ascii="Times New Roman" w:hAnsi="Times New Roman" w:cs="Times New Roman"/>
          <w:sz w:val="28"/>
          <w:szCs w:val="28"/>
        </w:rPr>
        <w:t xml:space="preserve"> предоставляется заявителю - собственнику либо арендатору помещений, здания, строения, сооружения, где стационарно расположено предприятие общественного питания, </w:t>
      </w:r>
      <w:r>
        <w:rPr>
          <w:rFonts w:ascii="Times New Roman" w:hAnsi="Times New Roman" w:cs="Times New Roman"/>
          <w:sz w:val="28"/>
          <w:szCs w:val="28"/>
        </w:rPr>
        <w:t xml:space="preserve">без проведения аукциона в случае расположения сезонного кафе на земельном участке, находящимся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 Набережные Челны или на землях, государственная собственность на которые не разграничена </w:t>
      </w:r>
      <w:r w:rsidRPr="00944694">
        <w:rPr>
          <w:rFonts w:ascii="Times New Roman" w:hAnsi="Times New Roman" w:cs="Times New Roman"/>
          <w:sz w:val="28"/>
          <w:szCs w:val="28"/>
        </w:rPr>
        <w:t>по стоимости</w:t>
      </w:r>
      <w:r w:rsidR="00616631">
        <w:rPr>
          <w:rFonts w:ascii="Times New Roman" w:hAnsi="Times New Roman" w:cs="Times New Roman"/>
          <w:sz w:val="28"/>
          <w:szCs w:val="28"/>
        </w:rPr>
        <w:t xml:space="preserve"> права</w:t>
      </w:r>
      <w:r w:rsidRPr="00944694">
        <w:rPr>
          <w:rFonts w:ascii="Times New Roman" w:hAnsi="Times New Roman" w:cs="Times New Roman"/>
          <w:sz w:val="28"/>
          <w:szCs w:val="28"/>
        </w:rPr>
        <w:t>, равной начальной (минимальной)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694">
        <w:rPr>
          <w:rFonts w:ascii="Times New Roman" w:hAnsi="Times New Roman" w:cs="Times New Roman"/>
          <w:sz w:val="28"/>
          <w:szCs w:val="28"/>
        </w:rPr>
        <w:t xml:space="preserve"> </w:t>
      </w:r>
      <w:r w:rsidR="0056652B">
        <w:rPr>
          <w:rFonts w:ascii="Times New Roman" w:hAnsi="Times New Roman" w:cs="Times New Roman"/>
          <w:sz w:val="28"/>
          <w:szCs w:val="28"/>
        </w:rPr>
        <w:t xml:space="preserve">права на размещение </w:t>
      </w:r>
      <w:r w:rsidRPr="00944694">
        <w:rPr>
          <w:rFonts w:ascii="Times New Roman" w:hAnsi="Times New Roman" w:cs="Times New Roman"/>
          <w:sz w:val="28"/>
          <w:szCs w:val="28"/>
        </w:rPr>
        <w:t>сезонного</w:t>
      </w:r>
      <w:r w:rsidR="0056652B">
        <w:rPr>
          <w:rFonts w:ascii="Times New Roman" w:hAnsi="Times New Roman" w:cs="Times New Roman"/>
          <w:sz w:val="28"/>
          <w:szCs w:val="28"/>
        </w:rPr>
        <w:t xml:space="preserve"> нестационарного торгового</w:t>
      </w:r>
      <w:r w:rsidRPr="00944694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6652B">
        <w:rPr>
          <w:rFonts w:ascii="Times New Roman" w:hAnsi="Times New Roman" w:cs="Times New Roman"/>
          <w:sz w:val="28"/>
          <w:szCs w:val="28"/>
        </w:rPr>
        <w:t xml:space="preserve"> и объекта</w:t>
      </w:r>
      <w:r w:rsidRPr="00944694">
        <w:rPr>
          <w:rFonts w:ascii="Times New Roman" w:hAnsi="Times New Roman" w:cs="Times New Roman"/>
          <w:sz w:val="28"/>
          <w:szCs w:val="28"/>
        </w:rPr>
        <w:t xml:space="preserve"> общественного питания, которая </w:t>
      </w:r>
      <w:r w:rsidRPr="008B10A8">
        <w:rPr>
          <w:rFonts w:ascii="Times New Roman" w:hAnsi="Times New Roman" w:cs="Times New Roman"/>
          <w:sz w:val="28"/>
          <w:szCs w:val="28"/>
        </w:rPr>
        <w:t xml:space="preserve">определяется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1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10A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Положению, при </w:t>
      </w:r>
      <w:r w:rsidRPr="008B10A8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10A8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953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размещение сезонного кафе при стационарных объектах </w:t>
      </w:r>
      <w:r w:rsidRPr="0003014F">
        <w:rPr>
          <w:rFonts w:ascii="Times New Roman" w:hAnsi="Times New Roman" w:cs="Times New Roman"/>
          <w:sz w:val="28"/>
          <w:szCs w:val="28"/>
        </w:rPr>
        <w:t>общественного питания.»;</w:t>
      </w:r>
    </w:p>
    <w:p w:rsidR="0003014F" w:rsidRDefault="0003014F" w:rsidP="005A10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приложением № 4 согласно приложению;</w:t>
      </w:r>
    </w:p>
    <w:p w:rsidR="00123CFE" w:rsidRPr="005A1008" w:rsidRDefault="0003014F" w:rsidP="000301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положении об организации и проведении электронного аукциона на право размещения сезонных нестационарных торговых объектов и объектов общественного питания на территории города Набережные Челны</w:t>
      </w:r>
      <w:r w:rsidR="007952A4">
        <w:rPr>
          <w:rFonts w:ascii="Times New Roman" w:hAnsi="Times New Roman" w:cs="Times New Roman"/>
          <w:sz w:val="28"/>
          <w:szCs w:val="28"/>
        </w:rPr>
        <w:t xml:space="preserve"> </w:t>
      </w:r>
      <w:r w:rsidR="00222DA1" w:rsidRPr="00EA4025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222DA1" w:rsidRPr="005A1008">
        <w:rPr>
          <w:rFonts w:ascii="Times New Roman" w:hAnsi="Times New Roman" w:cs="Times New Roman"/>
          <w:sz w:val="28"/>
          <w:szCs w:val="28"/>
        </w:rPr>
        <w:t xml:space="preserve">пункта 22  изложить в </w:t>
      </w:r>
      <w:r w:rsidRPr="005A1008">
        <w:rPr>
          <w:rFonts w:ascii="Times New Roman" w:hAnsi="Times New Roman" w:cs="Times New Roman"/>
          <w:sz w:val="28"/>
          <w:szCs w:val="28"/>
        </w:rPr>
        <w:t>следующей</w:t>
      </w:r>
      <w:r w:rsidR="00222DA1" w:rsidRPr="005A100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123CFE" w:rsidRPr="005A1008">
        <w:rPr>
          <w:rFonts w:ascii="Times New Roman" w:hAnsi="Times New Roman" w:cs="Times New Roman"/>
          <w:sz w:val="28"/>
          <w:szCs w:val="28"/>
        </w:rPr>
        <w:t>:</w:t>
      </w:r>
    </w:p>
    <w:p w:rsidR="00CC6DC6" w:rsidRPr="005A1008" w:rsidRDefault="00222DA1" w:rsidP="00AA54C8">
      <w:pPr>
        <w:spacing w:after="0" w:line="240" w:lineRule="auto"/>
        <w:ind w:firstLine="567"/>
        <w:jc w:val="both"/>
        <w:rPr>
          <w:color w:val="FF0000"/>
        </w:rPr>
      </w:pPr>
      <w:r w:rsidRPr="005A1008">
        <w:rPr>
          <w:rFonts w:ascii="Times New Roman" w:hAnsi="Times New Roman" w:cs="Times New Roman"/>
          <w:sz w:val="28"/>
          <w:szCs w:val="28"/>
        </w:rPr>
        <w:t xml:space="preserve"> «1) определять начальную (минимальную) стоимость права на размещение сезонного нестационарного торгового объекта и объекта общественного питания за весь период, в том числе на период консервации, на основании </w:t>
      </w:r>
      <w:hyperlink w:anchor="P905" w:history="1">
        <w:r w:rsidRPr="005A1008">
          <w:rPr>
            <w:rFonts w:ascii="Times New Roman" w:hAnsi="Times New Roman" w:cs="Times New Roman"/>
            <w:sz w:val="28"/>
            <w:szCs w:val="28"/>
          </w:rPr>
          <w:t>методики</w:t>
        </w:r>
      </w:hyperlink>
      <w:r w:rsidRPr="005A1008">
        <w:rPr>
          <w:rFonts w:ascii="Times New Roman" w:hAnsi="Times New Roman" w:cs="Times New Roman"/>
          <w:sz w:val="28"/>
          <w:szCs w:val="28"/>
        </w:rPr>
        <w:t xml:space="preserve"> определения начальной (минимальной) стоимости права на размещение сезонного нестационарного торгового объекта и объекта общественного питания</w:t>
      </w:r>
      <w:r w:rsidR="00BF1E28">
        <w:rPr>
          <w:rFonts w:ascii="Times New Roman" w:hAnsi="Times New Roman" w:cs="Times New Roman"/>
          <w:sz w:val="28"/>
          <w:szCs w:val="28"/>
        </w:rPr>
        <w:t xml:space="preserve"> (приложение № 4 к Положению</w:t>
      </w:r>
      <w:r w:rsidR="00BF1E28" w:rsidRPr="00BF1E28">
        <w:rPr>
          <w:rFonts w:ascii="Times New Roman" w:hAnsi="Times New Roman" w:cs="Times New Roman"/>
          <w:sz w:val="28"/>
          <w:szCs w:val="28"/>
        </w:rPr>
        <w:t xml:space="preserve"> </w:t>
      </w:r>
      <w:r w:rsidR="00BF1E28">
        <w:rPr>
          <w:rFonts w:ascii="Times New Roman" w:hAnsi="Times New Roman" w:cs="Times New Roman"/>
          <w:sz w:val="28"/>
          <w:szCs w:val="28"/>
        </w:rPr>
        <w:t xml:space="preserve">о порядке размещения сезонных нестационарных торговых объектов и объектов общественного питания </w:t>
      </w:r>
      <w:r w:rsidR="00BF1E28" w:rsidRPr="00CC6DC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BF1E28">
        <w:rPr>
          <w:rFonts w:ascii="Times New Roman" w:hAnsi="Times New Roman" w:cs="Times New Roman"/>
          <w:sz w:val="28"/>
          <w:szCs w:val="28"/>
        </w:rPr>
        <w:t xml:space="preserve"> </w:t>
      </w:r>
      <w:r w:rsidR="00BF1E28" w:rsidRPr="00CC6DC6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BF1E28">
        <w:rPr>
          <w:rFonts w:ascii="Times New Roman" w:hAnsi="Times New Roman" w:cs="Times New Roman"/>
          <w:sz w:val="28"/>
          <w:szCs w:val="28"/>
        </w:rPr>
        <w:t>).</w:t>
      </w:r>
      <w:r w:rsidRPr="005A1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35D" w:rsidRPr="00F47B57" w:rsidRDefault="00F47B57" w:rsidP="008B1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08">
        <w:rPr>
          <w:rFonts w:ascii="Times New Roman" w:hAnsi="Times New Roman" w:cs="Times New Roman"/>
          <w:sz w:val="28"/>
          <w:szCs w:val="28"/>
        </w:rPr>
        <w:t>2</w:t>
      </w:r>
      <w:r w:rsidR="008B10A8" w:rsidRPr="005A1008">
        <w:rPr>
          <w:rFonts w:ascii="Times New Roman" w:hAnsi="Times New Roman" w:cs="Times New Roman"/>
          <w:sz w:val="28"/>
          <w:szCs w:val="28"/>
        </w:rPr>
        <w:t>.</w:t>
      </w:r>
      <w:r w:rsidR="001D0FC5" w:rsidRPr="005A1008">
        <w:rPr>
          <w:rFonts w:ascii="Times New Roman" w:hAnsi="Times New Roman" w:cs="Times New Roman"/>
          <w:sz w:val="28"/>
          <w:szCs w:val="28"/>
        </w:rPr>
        <w:t xml:space="preserve"> </w:t>
      </w:r>
      <w:r w:rsidR="008B10A8" w:rsidRPr="005A1008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</w:t>
      </w:r>
      <w:r w:rsidR="008B10A8" w:rsidRPr="00F47B57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газетах «</w:t>
      </w:r>
      <w:proofErr w:type="spellStart"/>
      <w:r w:rsidR="008B10A8" w:rsidRPr="00F47B5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8B10A8" w:rsidRPr="00F47B57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="008B10A8" w:rsidRPr="00F47B57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8B10A8" w:rsidRPr="00F4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0A8" w:rsidRPr="00F47B57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8B10A8" w:rsidRPr="00F47B57">
        <w:rPr>
          <w:rFonts w:ascii="Times New Roman" w:hAnsi="Times New Roman" w:cs="Times New Roman"/>
          <w:sz w:val="28"/>
          <w:szCs w:val="28"/>
        </w:rPr>
        <w:t xml:space="preserve">» и размещение </w:t>
      </w:r>
      <w:r w:rsidRPr="00F47B57">
        <w:rPr>
          <w:rFonts w:ascii="Times New Roman" w:hAnsi="Times New Roman" w:cs="Times New Roman"/>
          <w:sz w:val="28"/>
          <w:szCs w:val="28"/>
        </w:rPr>
        <w:t>его официальном портале правовой информации Республики Татарстан (</w:t>
      </w:r>
      <w:proofErr w:type="spellStart"/>
      <w:r w:rsidRPr="00F47B5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47B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7B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47B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7B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47B57">
        <w:rPr>
          <w:rFonts w:ascii="Times New Roman" w:hAnsi="Times New Roman" w:cs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F47B57" w:rsidRPr="00F47B57" w:rsidRDefault="00F47B57" w:rsidP="008B10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B5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47B57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F47B57">
        <w:rPr>
          <w:rFonts w:ascii="Times New Roman" w:hAnsi="Times New Roman" w:cs="Times New Roman"/>
          <w:sz w:val="28"/>
          <w:szCs w:val="28"/>
        </w:rPr>
        <w:t xml:space="preserve"> Н.А., начальника управления земельных и имущественных отношений Исполнительного комитета </w:t>
      </w:r>
      <w:proofErr w:type="spellStart"/>
      <w:r w:rsidRPr="00F47B57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F47B57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F47B57" w:rsidRPr="003A2A18" w:rsidRDefault="00CC6DC6" w:rsidP="003A2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FC5" w:rsidRDefault="001D0FC5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C57B1D" w:rsidRPr="006564FF" w:rsidRDefault="00C57B1D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564FF">
        <w:rPr>
          <w:rFonts w:ascii="Times New Roman" w:hAnsi="Times New Roman" w:cs="Times New Roman"/>
          <w:sz w:val="28"/>
          <w:szCs w:val="26"/>
        </w:rPr>
        <w:t>Руководитель</w:t>
      </w:r>
    </w:p>
    <w:p w:rsidR="00C57B1D" w:rsidRDefault="00C57B1D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564FF">
        <w:rPr>
          <w:rFonts w:ascii="Times New Roman" w:hAnsi="Times New Roman" w:cs="Times New Roman"/>
          <w:sz w:val="28"/>
          <w:szCs w:val="26"/>
        </w:rPr>
        <w:t xml:space="preserve">Исполнительного комитета </w:t>
      </w:r>
      <w:r w:rsidRPr="006564FF">
        <w:rPr>
          <w:rFonts w:ascii="Times New Roman" w:hAnsi="Times New Roman" w:cs="Times New Roman"/>
          <w:sz w:val="28"/>
          <w:szCs w:val="26"/>
        </w:rPr>
        <w:tab/>
      </w:r>
      <w:r w:rsidRPr="006564FF">
        <w:rPr>
          <w:rFonts w:ascii="Times New Roman" w:hAnsi="Times New Roman" w:cs="Times New Roman"/>
          <w:sz w:val="28"/>
          <w:szCs w:val="26"/>
        </w:rPr>
        <w:tab/>
      </w:r>
      <w:r w:rsidRPr="006564FF">
        <w:rPr>
          <w:rFonts w:ascii="Times New Roman" w:hAnsi="Times New Roman" w:cs="Times New Roman"/>
          <w:sz w:val="28"/>
          <w:szCs w:val="26"/>
        </w:rPr>
        <w:tab/>
      </w:r>
      <w:r w:rsidRPr="006564FF">
        <w:rPr>
          <w:rFonts w:ascii="Times New Roman" w:hAnsi="Times New Roman" w:cs="Times New Roman"/>
          <w:sz w:val="28"/>
          <w:szCs w:val="26"/>
        </w:rPr>
        <w:tab/>
      </w:r>
      <w:r w:rsidRPr="006564FF">
        <w:rPr>
          <w:rFonts w:ascii="Times New Roman" w:hAnsi="Times New Roman" w:cs="Times New Roman"/>
          <w:sz w:val="28"/>
          <w:szCs w:val="26"/>
        </w:rPr>
        <w:tab/>
      </w:r>
      <w:r w:rsidRPr="006564FF">
        <w:rPr>
          <w:rFonts w:ascii="Times New Roman" w:hAnsi="Times New Roman" w:cs="Times New Roman"/>
          <w:sz w:val="28"/>
          <w:szCs w:val="26"/>
        </w:rPr>
        <w:tab/>
      </w:r>
      <w:r w:rsidRPr="006564FF">
        <w:rPr>
          <w:rFonts w:ascii="Times New Roman" w:hAnsi="Times New Roman" w:cs="Times New Roman"/>
          <w:sz w:val="28"/>
          <w:szCs w:val="26"/>
        </w:rPr>
        <w:tab/>
        <w:t xml:space="preserve">     Ф.Ш. Салахов</w:t>
      </w: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Calibri" w:hAnsi="Times New Roman" w:cs="Times New Roman"/>
          <w:sz w:val="28"/>
          <w:szCs w:val="28"/>
          <w:lang w:eastAsia="ru-RU"/>
        </w:rPr>
        <w:t>от________20__ г. № _____</w:t>
      </w:r>
    </w:p>
    <w:p w:rsidR="001F0076" w:rsidRPr="001F0076" w:rsidRDefault="001F0076" w:rsidP="001F007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№ 4 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1F0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1F0076">
        <w:rPr>
          <w:rFonts w:ascii="Times New Roman" w:eastAsia="Calibri" w:hAnsi="Times New Roman" w:cs="Times New Roman"/>
          <w:sz w:val="28"/>
          <w:szCs w:val="28"/>
        </w:rPr>
        <w:t>положению о порядке размещения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1F0076">
        <w:rPr>
          <w:rFonts w:ascii="Times New Roman" w:eastAsia="Calibri" w:hAnsi="Times New Roman" w:cs="Times New Roman"/>
          <w:sz w:val="28"/>
          <w:szCs w:val="28"/>
        </w:rPr>
        <w:t>сезонных нестационарных торговых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1F0076">
        <w:rPr>
          <w:rFonts w:ascii="Times New Roman" w:eastAsia="Calibri" w:hAnsi="Times New Roman" w:cs="Times New Roman"/>
          <w:sz w:val="28"/>
          <w:szCs w:val="28"/>
        </w:rPr>
        <w:t xml:space="preserve">объектов и объектов </w:t>
      </w:r>
      <w:proofErr w:type="gramStart"/>
      <w:r w:rsidRPr="001F0076">
        <w:rPr>
          <w:rFonts w:ascii="Times New Roman" w:eastAsia="Calibri" w:hAnsi="Times New Roman" w:cs="Times New Roman"/>
          <w:sz w:val="28"/>
          <w:szCs w:val="28"/>
        </w:rPr>
        <w:t>общественного</w:t>
      </w:r>
      <w:proofErr w:type="gramEnd"/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1F0076">
        <w:rPr>
          <w:rFonts w:ascii="Times New Roman" w:eastAsia="Calibri" w:hAnsi="Times New Roman" w:cs="Times New Roman"/>
          <w:sz w:val="28"/>
          <w:szCs w:val="28"/>
        </w:rPr>
        <w:t>питания на территории муниципального</w:t>
      </w:r>
    </w:p>
    <w:p w:rsidR="001F0076" w:rsidRPr="001F0076" w:rsidRDefault="001F0076" w:rsidP="001F007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</w:rPr>
      </w:pPr>
      <w:r w:rsidRPr="001F0076">
        <w:rPr>
          <w:rFonts w:ascii="Times New Roman" w:eastAsia="Calibri" w:hAnsi="Times New Roman" w:cs="Times New Roman"/>
          <w:sz w:val="28"/>
          <w:szCs w:val="28"/>
        </w:rPr>
        <w:t>образования город Набережные Челны</w:t>
      </w:r>
    </w:p>
    <w:p w:rsidR="001F0076" w:rsidRPr="001F0076" w:rsidRDefault="001F0076" w:rsidP="001F00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НАЧАЛЬНОЙ (МИНИМАЛЬНОЙ) СТОИМОСТИ ПРАВА</w:t>
      </w: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РАЗМЕЩЕНИЕ </w:t>
      </w:r>
      <w:proofErr w:type="gramStart"/>
      <w:r w:rsidRPr="001F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СЕЗОННОГО</w:t>
      </w:r>
      <w:proofErr w:type="gramEnd"/>
      <w:r w:rsidRPr="001F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НЕСТАЦИОНАРНОГО ТОРГОВОГО</w:t>
      </w: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И ОБЪЕКТА ОБЩЕСТВЕННОГО ПИТАНИЯ</w:t>
      </w: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Настоящая Методика разработана в целях определения начальной (минимальной) стоимости права на размещение сезонного нестационарного торгового объекта и объекта общественного питания (далее - лот).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начальной (минимальной) стоимостью лота, выставляемого на электронный аукцион, понимается минимальная стоимость, по которой уполномоченный орган готов продать лот.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Начальная (минимальная) стоимость лота рассчитывается по формуле:</w:t>
      </w: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НЦЛ = (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Спкс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Ккс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proofErr w:type="gram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gram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)/12 x 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Нвр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(руб.), где:</w:t>
      </w: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НЦЛ - начальная цена лота (руб.);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Спкс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средневзвешенные по площади сезонного нестационарного торгового объекта и объекта общественного питания значения удельного показателя кадастровой стоимости земельного участка (руб.);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Ккс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земельного налога</w:t>
      </w:r>
      <w:proofErr w:type="gram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(%) (</w:t>
      </w:r>
      <w:proofErr w:type="gram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 Решением Городского Совета муниципального образования город Набережные Челны Республики Татарстан от 9 ноября 2016 г. № 11/6 «О земельном налоге»);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применяемый для сезонных нестационарных торговых объектов и объектов общественного питания (в том числе при стационарных </w:t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объектах общественного питания) - 80, для сезонных объектов при стационарных объектах общественного питания на период консервации – 10;</w:t>
      </w:r>
      <w:proofErr w:type="gramEnd"/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Sоб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сезонного нестационарного торгового объекта и объекта общественного питания (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Нвр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нормативное время размещения нестационарного торгового объекта или объекта общественного питания, определенное для каждого вида деятельности (мес.).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нормативного времени размещения сезонного нестационарного торгового объекта и объекта общественного питания менее одного месяца начальная цена лота, рассчитываемая по вышеуказанной формуле, подлежит делению на 30 и умножению на количество дней размещения.</w:t>
      </w:r>
    </w:p>
    <w:p w:rsidR="001F0076" w:rsidRPr="001F0076" w:rsidRDefault="001F0076" w:rsidP="001F00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стоимости размещения мобильных объектов на маршруте передвижения использовать среднее арифметическое значение показателя средневзвешенных по площади сезонного нестационарного торгового объекта и объекта общественного питания значений удельного показателя кадастровой стоимости земельного участка (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Спкс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определяемое как отношение суммы показателей 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Спкс</w:t>
      </w:r>
      <w:proofErr w:type="spellEnd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точек размещения на маршруте к количеству точек размещения на этом же маршруте.</w:t>
      </w:r>
      <w:proofErr w:type="gramEnd"/>
    </w:p>
    <w:p w:rsidR="001F0076" w:rsidRPr="001F0076" w:rsidRDefault="001F0076" w:rsidP="001F0076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076" w:rsidRPr="001F0076" w:rsidRDefault="001F0076" w:rsidP="001F0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Аппарата, </w:t>
      </w:r>
    </w:p>
    <w:p w:rsidR="001F0076" w:rsidRPr="001F0076" w:rsidRDefault="001F0076" w:rsidP="001F0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делопроизводством</w:t>
      </w:r>
    </w:p>
    <w:p w:rsidR="001F0076" w:rsidRPr="001F0076" w:rsidRDefault="001F0076" w:rsidP="001F0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Н.И. </w:t>
      </w:r>
      <w:proofErr w:type="spellStart"/>
      <w:r w:rsidRPr="001F0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</w:p>
    <w:p w:rsidR="001F0076" w:rsidRPr="006564FF" w:rsidRDefault="001F0076" w:rsidP="00C57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564FF" w:rsidRDefault="006564FF" w:rsidP="00C17775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149" w:rsidRDefault="00320149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308" w:rsidRDefault="000B3308" w:rsidP="00C17775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3E18" w:rsidRPr="00102509" w:rsidRDefault="00593E18" w:rsidP="00913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3E18" w:rsidRPr="00102509" w:rsidSect="00CC505F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F31"/>
    <w:multiLevelType w:val="hybridMultilevel"/>
    <w:tmpl w:val="71924C50"/>
    <w:lvl w:ilvl="0" w:tplc="61A8F4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5B13D78"/>
    <w:multiLevelType w:val="hybridMultilevel"/>
    <w:tmpl w:val="775A4586"/>
    <w:lvl w:ilvl="0" w:tplc="BC2C7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3F"/>
    <w:rsid w:val="0003014F"/>
    <w:rsid w:val="00087B78"/>
    <w:rsid w:val="000924F5"/>
    <w:rsid w:val="000B3308"/>
    <w:rsid w:val="000C04B5"/>
    <w:rsid w:val="00102509"/>
    <w:rsid w:val="00113E73"/>
    <w:rsid w:val="00123CFE"/>
    <w:rsid w:val="001509B1"/>
    <w:rsid w:val="00150F6A"/>
    <w:rsid w:val="001649AA"/>
    <w:rsid w:val="00184FB0"/>
    <w:rsid w:val="001A2192"/>
    <w:rsid w:val="001A56F9"/>
    <w:rsid w:val="001D0FC5"/>
    <w:rsid w:val="001F0076"/>
    <w:rsid w:val="00221176"/>
    <w:rsid w:val="00222DA1"/>
    <w:rsid w:val="00223FA9"/>
    <w:rsid w:val="002467AC"/>
    <w:rsid w:val="00263EB6"/>
    <w:rsid w:val="002D0305"/>
    <w:rsid w:val="00307D23"/>
    <w:rsid w:val="00320149"/>
    <w:rsid w:val="00333B52"/>
    <w:rsid w:val="00334119"/>
    <w:rsid w:val="003A2A18"/>
    <w:rsid w:val="00400373"/>
    <w:rsid w:val="00442D18"/>
    <w:rsid w:val="004C004D"/>
    <w:rsid w:val="004D77BD"/>
    <w:rsid w:val="004E344C"/>
    <w:rsid w:val="005526E1"/>
    <w:rsid w:val="0056652B"/>
    <w:rsid w:val="00593E18"/>
    <w:rsid w:val="005A1008"/>
    <w:rsid w:val="005B1EC3"/>
    <w:rsid w:val="005C2DF1"/>
    <w:rsid w:val="005D1B92"/>
    <w:rsid w:val="005F0D63"/>
    <w:rsid w:val="005F253F"/>
    <w:rsid w:val="00616631"/>
    <w:rsid w:val="00643435"/>
    <w:rsid w:val="00654864"/>
    <w:rsid w:val="006564FF"/>
    <w:rsid w:val="0068405F"/>
    <w:rsid w:val="006B5B0E"/>
    <w:rsid w:val="006F748B"/>
    <w:rsid w:val="00726D84"/>
    <w:rsid w:val="00733BF6"/>
    <w:rsid w:val="0076279A"/>
    <w:rsid w:val="00763237"/>
    <w:rsid w:val="00767173"/>
    <w:rsid w:val="007952A4"/>
    <w:rsid w:val="007D358E"/>
    <w:rsid w:val="007E4ACE"/>
    <w:rsid w:val="00824BFB"/>
    <w:rsid w:val="00857246"/>
    <w:rsid w:val="00865683"/>
    <w:rsid w:val="00890609"/>
    <w:rsid w:val="008B10A8"/>
    <w:rsid w:val="008D06E4"/>
    <w:rsid w:val="008D23FA"/>
    <w:rsid w:val="009130B3"/>
    <w:rsid w:val="009145E4"/>
    <w:rsid w:val="00932DCD"/>
    <w:rsid w:val="00944694"/>
    <w:rsid w:val="00953B24"/>
    <w:rsid w:val="009A0299"/>
    <w:rsid w:val="009A275B"/>
    <w:rsid w:val="009A44ED"/>
    <w:rsid w:val="009E0D8E"/>
    <w:rsid w:val="009F6CC4"/>
    <w:rsid w:val="00A14C43"/>
    <w:rsid w:val="00A26CFD"/>
    <w:rsid w:val="00A9514A"/>
    <w:rsid w:val="00AA54C8"/>
    <w:rsid w:val="00AB35EA"/>
    <w:rsid w:val="00AD029F"/>
    <w:rsid w:val="00B1343D"/>
    <w:rsid w:val="00B25AA9"/>
    <w:rsid w:val="00B44C41"/>
    <w:rsid w:val="00BA08C4"/>
    <w:rsid w:val="00BA7341"/>
    <w:rsid w:val="00BD1401"/>
    <w:rsid w:val="00BF1E28"/>
    <w:rsid w:val="00C16B17"/>
    <w:rsid w:val="00C17775"/>
    <w:rsid w:val="00C5735D"/>
    <w:rsid w:val="00C57B1D"/>
    <w:rsid w:val="00C8561D"/>
    <w:rsid w:val="00C951A3"/>
    <w:rsid w:val="00CC1FF0"/>
    <w:rsid w:val="00CC505F"/>
    <w:rsid w:val="00CC6DC6"/>
    <w:rsid w:val="00CD6416"/>
    <w:rsid w:val="00D02196"/>
    <w:rsid w:val="00D061BB"/>
    <w:rsid w:val="00D1118D"/>
    <w:rsid w:val="00E367DF"/>
    <w:rsid w:val="00E76AC7"/>
    <w:rsid w:val="00EA4025"/>
    <w:rsid w:val="00EB65FD"/>
    <w:rsid w:val="00EB7971"/>
    <w:rsid w:val="00EC4F8F"/>
    <w:rsid w:val="00F34AC2"/>
    <w:rsid w:val="00F435C8"/>
    <w:rsid w:val="00F47B57"/>
    <w:rsid w:val="00F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1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57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19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57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9ADE97E5AAAF9D45C67B2A717F83CF7275E1CB88C76457241EB69EB535FF5465C7354F56FC3FCF652A88EB46Fv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D9ADE97E5AAAF9D45C67B2A717F83CF7275E15BB8476457241EB69EB535FF5465C7354F56FC3FCF652A88EB46Fv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D9ADE97E5AAAF9D45C79BFB17BA537F72B0218BD8F7B16271EB034BC5A55A21313721AB262DCFCF04DA388BDAB04B5CF076C7B7A28CDAE27E4BA61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7D36-A2D4-4BA3-A1FB-523BA61C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 Ахметзянов Ильдарович</dc:creator>
  <cp:lastModifiedBy>Елена Дерлюкова Владимировна</cp:lastModifiedBy>
  <cp:revision>2</cp:revision>
  <cp:lastPrinted>2021-07-06T05:32:00Z</cp:lastPrinted>
  <dcterms:created xsi:type="dcterms:W3CDTF">2021-07-06T11:30:00Z</dcterms:created>
  <dcterms:modified xsi:type="dcterms:W3CDTF">2021-07-06T11:30:00Z</dcterms:modified>
</cp:coreProperties>
</file>