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1EB" w:rsidRDefault="004F57B9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57B9">
        <w:rPr>
          <w:rFonts w:ascii="Times New Roman" w:hAnsi="Times New Roman" w:cs="Times New Roman"/>
          <w:sz w:val="28"/>
          <w:szCs w:val="28"/>
        </w:rPr>
        <w:t>О</w:t>
      </w:r>
      <w:r w:rsidR="001141EB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93249">
        <w:rPr>
          <w:rFonts w:ascii="Times New Roman" w:hAnsi="Times New Roman" w:cs="Times New Roman"/>
          <w:sz w:val="28"/>
          <w:szCs w:val="28"/>
        </w:rPr>
        <w:t>порядка</w:t>
      </w:r>
      <w:r w:rsidR="001141EB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C320A3" w:rsidRPr="00C86275" w:rsidRDefault="00C320A3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6275" w:rsidRPr="00625A9E" w:rsidRDefault="00C86275" w:rsidP="00A2064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320A3" w:rsidRPr="00625A9E" w:rsidRDefault="00ED5288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78 Бюджетного кодекса Российской Федерации, в</w:t>
      </w:r>
      <w:r w:rsidR="001141EB"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 Правительства Российской Федерации от 15 марта 2016 г.</w:t>
      </w:r>
      <w:r w:rsidR="001141EB" w:rsidRPr="001A206B">
        <w:rPr>
          <w:rFonts w:ascii="Times New Roman" w:hAnsi="Times New Roman" w:cs="Times New Roman"/>
          <w:sz w:val="28"/>
          <w:szCs w:val="28"/>
        </w:rPr>
        <w:t xml:space="preserve"> №194 «Об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промышленности» </w:t>
      </w:r>
      <w:r w:rsidR="001141EB">
        <w:rPr>
          <w:rFonts w:ascii="Times New Roman" w:hAnsi="Times New Roman" w:cs="Times New Roman"/>
          <w:sz w:val="28"/>
          <w:szCs w:val="28"/>
        </w:rPr>
        <w:t>в целях реализации государственной программы</w:t>
      </w:r>
      <w:r w:rsidR="001141EB" w:rsidRPr="004F57B9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Татарстан», утвержденн</w:t>
      </w:r>
      <w:r w:rsidR="001141EB">
        <w:rPr>
          <w:rFonts w:ascii="Times New Roman" w:hAnsi="Times New Roman" w:cs="Times New Roman"/>
          <w:sz w:val="28"/>
          <w:szCs w:val="28"/>
        </w:rPr>
        <w:t>ой</w:t>
      </w:r>
      <w:r w:rsidR="001141EB" w:rsidRPr="004F57B9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03.11.2021 №1043 «Об утверждении государственной программы Республики Татарстан «Развитие обрабатывающих отраслей промыш</w:t>
      </w:r>
      <w:r w:rsidR="001141EB">
        <w:rPr>
          <w:rFonts w:ascii="Times New Roman" w:hAnsi="Times New Roman" w:cs="Times New Roman"/>
          <w:sz w:val="28"/>
          <w:szCs w:val="28"/>
        </w:rPr>
        <w:t>ленно</w:t>
      </w:r>
      <w:r w:rsidR="001141EB" w:rsidRPr="004F57B9">
        <w:rPr>
          <w:rFonts w:ascii="Times New Roman" w:hAnsi="Times New Roman" w:cs="Times New Roman"/>
          <w:sz w:val="28"/>
          <w:szCs w:val="28"/>
        </w:rPr>
        <w:t>сти Республики Татарстан»</w:t>
      </w:r>
      <w:r w:rsidR="001141EB">
        <w:rPr>
          <w:rFonts w:ascii="Times New Roman" w:hAnsi="Times New Roman" w:cs="Times New Roman"/>
          <w:sz w:val="28"/>
          <w:szCs w:val="28"/>
        </w:rPr>
        <w:t xml:space="preserve"> </w:t>
      </w:r>
      <w:r w:rsidR="00B82A05"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625A9E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F3" w:rsidRDefault="001141EB" w:rsidP="000A3520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5E1702">
        <w:rPr>
          <w:rFonts w:ascii="Times New Roman" w:hAnsi="Times New Roman" w:cs="Times New Roman"/>
          <w:sz w:val="28"/>
          <w:szCs w:val="28"/>
        </w:rPr>
        <w:t xml:space="preserve"> прилагаемы</w:t>
      </w:r>
      <w:r w:rsidR="004D7EAA">
        <w:rPr>
          <w:rFonts w:ascii="Times New Roman" w:hAnsi="Times New Roman" w:cs="Times New Roman"/>
          <w:sz w:val="28"/>
          <w:szCs w:val="28"/>
        </w:rPr>
        <w:t>й</w:t>
      </w:r>
      <w:r w:rsidR="000A3520">
        <w:rPr>
          <w:rFonts w:ascii="Times New Roman" w:hAnsi="Times New Roman" w:cs="Times New Roman"/>
          <w:sz w:val="28"/>
          <w:szCs w:val="28"/>
        </w:rPr>
        <w:t xml:space="preserve"> </w:t>
      </w:r>
      <w:r w:rsidR="004D7EAA">
        <w:rPr>
          <w:rFonts w:ascii="Times New Roman" w:hAnsi="Times New Roman" w:cs="Times New Roman"/>
          <w:sz w:val="28"/>
          <w:szCs w:val="28"/>
        </w:rPr>
        <w:t>Порядок</w:t>
      </w:r>
      <w:r w:rsidR="000A352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организациями.</w:t>
      </w:r>
    </w:p>
    <w:p w:rsidR="000A3520" w:rsidRDefault="000A3520" w:rsidP="000A3520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Министерство промышленности и торговли Республики Татарстан.</w:t>
      </w:r>
    </w:p>
    <w:p w:rsidR="001141EB" w:rsidRDefault="001141EB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41EB" w:rsidRDefault="00DC0538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C0538" w:rsidRDefault="00DC0538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 Песошин</w:t>
      </w:r>
    </w:p>
    <w:p w:rsidR="00363BFF" w:rsidRPr="00D45269" w:rsidRDefault="00363BFF" w:rsidP="00363BFF">
      <w:pPr>
        <w:pStyle w:val="af1"/>
        <w:ind w:left="5954"/>
        <w:rPr>
          <w:rFonts w:ascii="Times New Roman" w:hAnsi="Times New Roman" w:cs="Times New Roman"/>
          <w:sz w:val="28"/>
          <w:szCs w:val="28"/>
        </w:rPr>
      </w:pPr>
      <w:r w:rsidRPr="00D4526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63BFF" w:rsidRPr="00D45269" w:rsidRDefault="00363BFF" w:rsidP="00363BFF">
      <w:pPr>
        <w:pStyle w:val="af1"/>
        <w:ind w:left="5954"/>
        <w:rPr>
          <w:rFonts w:ascii="Times New Roman" w:hAnsi="Times New Roman" w:cs="Times New Roman"/>
          <w:sz w:val="28"/>
          <w:szCs w:val="28"/>
        </w:rPr>
      </w:pPr>
      <w:r w:rsidRPr="00D4526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63BFF" w:rsidRPr="00D45269" w:rsidRDefault="00363BFF" w:rsidP="00363BFF">
      <w:pPr>
        <w:pStyle w:val="af1"/>
        <w:ind w:left="5954"/>
        <w:rPr>
          <w:rFonts w:ascii="Times New Roman" w:hAnsi="Times New Roman" w:cs="Times New Roman"/>
          <w:sz w:val="28"/>
          <w:szCs w:val="28"/>
        </w:rPr>
      </w:pPr>
      <w:r w:rsidRPr="00D45269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363BFF" w:rsidRDefault="00363BFF" w:rsidP="00363BFF">
      <w:pPr>
        <w:pStyle w:val="af1"/>
        <w:ind w:left="5954"/>
        <w:rPr>
          <w:rFonts w:ascii="Times New Roman" w:hAnsi="Times New Roman" w:cs="Times New Roman"/>
          <w:sz w:val="28"/>
          <w:szCs w:val="28"/>
        </w:rPr>
      </w:pPr>
      <w:r w:rsidRPr="00D4526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3BFF" w:rsidRPr="00D45269" w:rsidRDefault="00363BFF" w:rsidP="00363BFF">
      <w:pPr>
        <w:pStyle w:val="af1"/>
        <w:ind w:left="5954"/>
        <w:rPr>
          <w:rFonts w:ascii="Times New Roman" w:hAnsi="Times New Roman" w:cs="Times New Roman"/>
          <w:sz w:val="28"/>
          <w:szCs w:val="28"/>
        </w:rPr>
      </w:pPr>
      <w:r w:rsidRPr="00D45269">
        <w:rPr>
          <w:rFonts w:ascii="Times New Roman" w:hAnsi="Times New Roman" w:cs="Times New Roman"/>
          <w:sz w:val="28"/>
          <w:szCs w:val="28"/>
        </w:rPr>
        <w:t>от _________20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45269">
        <w:rPr>
          <w:rFonts w:ascii="Times New Roman" w:hAnsi="Times New Roman" w:cs="Times New Roman"/>
          <w:sz w:val="28"/>
          <w:szCs w:val="28"/>
        </w:rPr>
        <w:t xml:space="preserve"> №_______</w:t>
      </w:r>
    </w:p>
    <w:p w:rsidR="00363BFF" w:rsidRDefault="00363BFF" w:rsidP="00363BFF">
      <w:pPr>
        <w:pStyle w:val="ConsPlusNormal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C43A81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Pr="009077B2" w:rsidRDefault="00363BFF" w:rsidP="00363BFF">
      <w:pPr>
        <w:pStyle w:val="af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E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370E04">
        <w:rPr>
          <w:rFonts w:ascii="Times New Roman" w:hAnsi="Times New Roman" w:cs="Times New Roman"/>
          <w:sz w:val="28"/>
          <w:szCs w:val="28"/>
        </w:rPr>
        <w:t xml:space="preserve">. Настоящий Порядок определяет цель, условия и правила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D3DA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8" w:history="1">
        <w:r w:rsidRPr="005D3DAB">
          <w:rPr>
            <w:rFonts w:ascii="Times New Roman" w:hAnsi="Times New Roman" w:cs="Times New Roman"/>
            <w:sz w:val="28"/>
            <w:szCs w:val="28"/>
          </w:rPr>
          <w:t>программ</w:t>
        </w:r>
        <w:r>
          <w:rPr>
            <w:rFonts w:ascii="Times New Roman" w:hAnsi="Times New Roman" w:cs="Times New Roman"/>
            <w:sz w:val="28"/>
            <w:szCs w:val="28"/>
          </w:rPr>
          <w:t>ой</w:t>
        </w:r>
      </w:hyperlink>
      <w:r w:rsidRPr="005D3DAB">
        <w:rPr>
          <w:rFonts w:ascii="Times New Roman" w:hAnsi="Times New Roman" w:cs="Times New Roman"/>
          <w:sz w:val="28"/>
          <w:szCs w:val="28"/>
        </w:rPr>
        <w:t xml:space="preserve"> Республики Татарстан «Развитие обрабатывающих отраслей промышленности Республики Татарстан», утверждённой постановлением Кабинета Министров Республики Татарстан от 03.11.2021 г. № 1043 «Об утверждении государственной программы Республики Татарстан «Развитие обрабатывающих отраслей промышленности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 w:rsidRPr="00370E04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Татарстан, в том числе </w:t>
      </w:r>
      <w:r w:rsidRPr="00370E04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средства иного межбюджетного трансферта из федерального бюджета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Pr="00370E04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0E04">
        <w:rPr>
          <w:rFonts w:ascii="Times New Roman" w:hAnsi="Times New Roman" w:cs="Times New Roman"/>
          <w:sz w:val="28"/>
          <w:szCs w:val="28"/>
        </w:rPr>
        <w:t xml:space="preserve">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</w:t>
      </w:r>
      <w:r>
        <w:rPr>
          <w:rFonts w:ascii="Times New Roman" w:hAnsi="Times New Roman" w:cs="Times New Roman"/>
          <w:sz w:val="28"/>
          <w:szCs w:val="28"/>
        </w:rPr>
        <w:t>(далее – Субсидия</w:t>
      </w:r>
      <w:r w:rsidRPr="00370E0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E04">
        <w:rPr>
          <w:rFonts w:ascii="Times New Roman" w:hAnsi="Times New Roman" w:cs="Times New Roman"/>
          <w:sz w:val="28"/>
          <w:szCs w:val="28"/>
        </w:rPr>
        <w:t>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D3DAB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договор лизинга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>финансовой аренды, заключенный между промышленным предприятием и лизингодателем, определяющий условия поставки, порядок и сроки платы за временное владение и пользование предметом лизинга;</w:t>
      </w:r>
    </w:p>
    <w:p w:rsidR="00363BFF" w:rsidRPr="00CE6CF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CFB">
        <w:rPr>
          <w:rFonts w:ascii="Times New Roman" w:hAnsi="Times New Roman" w:cs="Times New Roman"/>
          <w:sz w:val="28"/>
          <w:szCs w:val="28"/>
        </w:rPr>
        <w:t>отбор – конкурсный отбор, проводимый Министерством промышленности и торговли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7B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077B2">
        <w:rPr>
          <w:rFonts w:ascii="Times New Roman" w:hAnsi="Times New Roman" w:cs="Times New Roman"/>
          <w:sz w:val="28"/>
          <w:szCs w:val="28"/>
        </w:rPr>
        <w:t>)</w:t>
      </w:r>
      <w:r w:rsidRPr="00CE6CFB">
        <w:rPr>
          <w:rFonts w:ascii="Times New Roman" w:hAnsi="Times New Roman" w:cs="Times New Roman"/>
          <w:sz w:val="28"/>
          <w:szCs w:val="28"/>
        </w:rPr>
        <w:t xml:space="preserve"> для определения получателей субсидий;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лизинговая организация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3DAB">
        <w:rPr>
          <w:rFonts w:ascii="Times New Roman" w:hAnsi="Times New Roman" w:cs="Times New Roman"/>
          <w:sz w:val="28"/>
          <w:szCs w:val="28"/>
        </w:rPr>
        <w:t xml:space="preserve"> 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>организация, состоящая на учете в Федеральной службе по финансовому мониторингу, которая в соответствии с договором финансовой аренды (лизинга) предоставляет предмет лизинга промышленному предприятию за определенную плату, на определенный срок и на определенных условиях во временное владение и пользование с переходом к промышленному предприятию права собственности на предмет лизинга;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9E2">
        <w:rPr>
          <w:rFonts w:ascii="Times New Roman" w:hAnsi="Times New Roman" w:cs="Times New Roman"/>
          <w:sz w:val="28"/>
          <w:szCs w:val="28"/>
        </w:rPr>
        <w:t xml:space="preserve">промышленное предприятие – субъект деятельности в сфере промышленности, </w:t>
      </w:r>
      <w:r w:rsidRPr="005D3DAB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деятельность, относящуюся по виду экономической деятельности к разделу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промышленная продукция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3DAB">
        <w:rPr>
          <w:rFonts w:ascii="Times New Roman" w:hAnsi="Times New Roman" w:cs="Times New Roman"/>
          <w:sz w:val="28"/>
          <w:szCs w:val="28"/>
        </w:rPr>
        <w:t xml:space="preserve"> продукция, относимая в соответствии с Общероссийским классификатором продукции по видам экономической деятельности к </w:t>
      </w:r>
      <w:hyperlink r:id="rId9" w:history="1">
        <w:r w:rsidRPr="005D3DAB">
          <w:rPr>
            <w:rFonts w:ascii="Times New Roman" w:hAnsi="Times New Roman" w:cs="Times New Roman"/>
            <w:sz w:val="28"/>
            <w:szCs w:val="28"/>
          </w:rPr>
          <w:t>классам 26</w:t>
        </w:r>
      </w:hyperlink>
      <w:r w:rsidRPr="005D3DA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5D3DAB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5D3DA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5D3DAB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5D3DAB">
        <w:rPr>
          <w:rFonts w:ascii="Times New Roman" w:hAnsi="Times New Roman" w:cs="Times New Roman"/>
          <w:sz w:val="28"/>
          <w:szCs w:val="28"/>
        </w:rPr>
        <w:t xml:space="preserve"> (за исключением </w:t>
      </w:r>
      <w:hyperlink r:id="rId12" w:history="1">
        <w:r w:rsidRPr="005D3DAB">
          <w:rPr>
            <w:rFonts w:ascii="Times New Roman" w:hAnsi="Times New Roman" w:cs="Times New Roman"/>
            <w:sz w:val="28"/>
            <w:szCs w:val="28"/>
          </w:rPr>
          <w:t>подкласса 28.3</w:t>
        </w:r>
      </w:hyperlink>
      <w:r w:rsidRPr="005D3DAB">
        <w:rPr>
          <w:rFonts w:ascii="Times New Roman" w:hAnsi="Times New Roman" w:cs="Times New Roman"/>
          <w:sz w:val="28"/>
          <w:szCs w:val="28"/>
        </w:rPr>
        <w:t>);</w:t>
      </w:r>
    </w:p>
    <w:p w:rsidR="00363BFF" w:rsidRPr="00F10065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065">
        <w:rPr>
          <w:rFonts w:ascii="Times New Roman" w:hAnsi="Times New Roman" w:cs="Times New Roman"/>
          <w:sz w:val="28"/>
          <w:szCs w:val="28"/>
        </w:rPr>
        <w:t>лизингополучатель – промышленное предприятие, которое в соответствии с договором лизинга принимает предмет лизинга за определенную плату, на определенный срок и на определенных условиях во временное владение и пользование в соответствии с договором лизинга;</w:t>
      </w:r>
    </w:p>
    <w:p w:rsidR="00363BFF" w:rsidRPr="003419E2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9E2">
        <w:rPr>
          <w:rFonts w:ascii="Times New Roman" w:hAnsi="Times New Roman" w:cs="Times New Roman"/>
          <w:sz w:val="28"/>
          <w:szCs w:val="28"/>
        </w:rPr>
        <w:t>предмет лизинга – оборудование, станки, приборы, аппараты, агрегаты, установки, машины, используемые для производства промышленной продукции;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первый взнос (аванс)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денежная сумма, оплаченная лизингополучателем лизингодателю и являющаяся первым лизинговым платежом согласно графику лизинговых платежей или предоплатой (авансом) по договору лизинга оборудования;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C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 xml:space="preserve">«сфера ведения Министерства промышленности и торговли Российской Федерации» используются в настоящем Порядке в значении, указанном в </w:t>
      </w:r>
      <w:hyperlink r:id="rId13" w:history="1">
        <w:r w:rsidRPr="005D3DAB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D3DAB">
        <w:rPr>
          <w:rFonts w:ascii="Times New Roman" w:hAnsi="Times New Roman" w:cs="Times New Roman"/>
          <w:sz w:val="28"/>
          <w:szCs w:val="28"/>
        </w:rPr>
        <w:t xml:space="preserve">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утвержденных постановлением Правительства Российской Федерации от 15 марта 2016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3DAB">
        <w:rPr>
          <w:rFonts w:ascii="Times New Roman" w:hAnsi="Times New Roman" w:cs="Times New Roman"/>
          <w:sz w:val="28"/>
          <w:szCs w:val="28"/>
        </w:rPr>
        <w:t xml:space="preserve"> № 194 (в редакции постановления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21 декабря 2021 г. № </w:t>
      </w:r>
      <w:r w:rsidRPr="005D3DAB">
        <w:rPr>
          <w:rFonts w:ascii="Times New Roman" w:hAnsi="Times New Roman" w:cs="Times New Roman"/>
          <w:sz w:val="28"/>
          <w:szCs w:val="28"/>
        </w:rPr>
        <w:t>2372).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6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Pr="005D3DAB">
        <w:rPr>
          <w:rFonts w:ascii="Times New Roman" w:hAnsi="Times New Roman" w:cs="Times New Roman"/>
          <w:sz w:val="28"/>
          <w:szCs w:val="28"/>
        </w:rPr>
        <w:t>3. Субсидии предоставляются на возмещение</w:t>
      </w:r>
      <w:r>
        <w:rPr>
          <w:rFonts w:ascii="Times New Roman" w:hAnsi="Times New Roman" w:cs="Times New Roman"/>
          <w:sz w:val="28"/>
          <w:szCs w:val="28"/>
        </w:rPr>
        <w:t xml:space="preserve"> промышленным предприятиям</w:t>
      </w:r>
      <w:r w:rsidRPr="005D3DAB">
        <w:rPr>
          <w:rFonts w:ascii="Times New Roman" w:hAnsi="Times New Roman" w:cs="Times New Roman"/>
          <w:sz w:val="28"/>
          <w:szCs w:val="28"/>
        </w:rPr>
        <w:t xml:space="preserve"> части </w:t>
      </w:r>
      <w:r w:rsidRPr="009077B2">
        <w:rPr>
          <w:rFonts w:ascii="Times New Roman" w:hAnsi="Times New Roman" w:cs="Times New Roman"/>
          <w:sz w:val="28"/>
          <w:szCs w:val="28"/>
        </w:rPr>
        <w:t>фактически произведенных и документально подтвержденных затрат</w:t>
      </w:r>
      <w:r w:rsidRPr="005D3DAB">
        <w:rPr>
          <w:rFonts w:ascii="Times New Roman" w:hAnsi="Times New Roman" w:cs="Times New Roman"/>
          <w:sz w:val="28"/>
          <w:szCs w:val="28"/>
        </w:rPr>
        <w:t>, связанных с уплатой первого взноса (аванса) при заключении договора (договоров) лизинга оборудования с российскими лизинговыми организациями.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7"/>
      <w:bookmarkEnd w:id="2"/>
      <w:r>
        <w:rPr>
          <w:rFonts w:ascii="Times New Roman" w:hAnsi="Times New Roman" w:cs="Times New Roman"/>
          <w:sz w:val="28"/>
          <w:szCs w:val="28"/>
        </w:rPr>
        <w:t>1.</w:t>
      </w:r>
      <w:r w:rsidRPr="005D3DAB">
        <w:rPr>
          <w:rFonts w:ascii="Times New Roman" w:hAnsi="Times New Roman" w:cs="Times New Roman"/>
          <w:sz w:val="28"/>
          <w:szCs w:val="28"/>
        </w:rPr>
        <w:t xml:space="preserve">4. Субсидии предоставляются </w:t>
      </w:r>
      <w:r w:rsidRPr="009077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участникам отбора </w:t>
      </w:r>
      <w:r w:rsidRPr="00ED348B">
        <w:rPr>
          <w:rFonts w:ascii="Times New Roman" w:eastAsiaTheme="minorHAnsi" w:hAnsi="Times New Roman" w:cs="Times New Roman"/>
          <w:strike/>
          <w:sz w:val="28"/>
          <w:szCs w:val="28"/>
          <w:lang w:eastAsia="en-US"/>
        </w:rPr>
        <w:t>–</w:t>
      </w:r>
      <w:r w:rsidRPr="00ED348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промышленным предприятиям</w:t>
      </w:r>
      <w:r w:rsidRPr="009077B2">
        <w:rPr>
          <w:rFonts w:ascii="Times New Roman" w:eastAsiaTheme="minorHAnsi" w:hAnsi="Times New Roman" w:cs="Times New Roman"/>
          <w:sz w:val="28"/>
          <w:szCs w:val="28"/>
          <w:lang w:eastAsia="en-US"/>
        </w:rPr>
        <w:t>, не</w:t>
      </w:r>
      <w:r w:rsidRPr="009077B2">
        <w:rPr>
          <w:rFonts w:ascii="Times New Roman" w:hAnsi="Times New Roman" w:cs="Times New Roman"/>
          <w:sz w:val="28"/>
          <w:szCs w:val="28"/>
        </w:rPr>
        <w:t xml:space="preserve"> являющимся государственными (муниципальными) унитарными предприятиями, и</w:t>
      </w:r>
      <w:r w:rsidRPr="009077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соответствующим одновременно следующим критериям: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5D3DAB">
        <w:rPr>
          <w:rFonts w:ascii="Times New Roman" w:hAnsi="Times New Roman" w:cs="Times New Roman"/>
          <w:sz w:val="28"/>
          <w:szCs w:val="28"/>
        </w:rPr>
        <w:t>зарегистрирован на территории Республики Татарстан в качестве налогоплательщик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5D3DAB">
        <w:rPr>
          <w:rFonts w:ascii="Times New Roman" w:hAnsi="Times New Roman" w:cs="Times New Roman"/>
          <w:sz w:val="28"/>
          <w:szCs w:val="28"/>
        </w:rPr>
        <w:t>самостоятельно 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D3DAB">
        <w:rPr>
          <w:rFonts w:ascii="Times New Roman" w:hAnsi="Times New Roman" w:cs="Times New Roman"/>
          <w:sz w:val="28"/>
          <w:szCs w:val="28"/>
        </w:rPr>
        <w:t xml:space="preserve"> производство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</w:t>
      </w:r>
      <w:r w:rsidRPr="005D3DAB">
        <w:rPr>
          <w:rFonts w:ascii="Times New Roman" w:hAnsi="Times New Roman" w:cs="Times New Roman"/>
          <w:sz w:val="28"/>
          <w:szCs w:val="28"/>
        </w:rPr>
        <w:t>продукции на территории Республики Татарстан;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Pr="005D3DAB">
        <w:rPr>
          <w:rFonts w:ascii="Times New Roman" w:hAnsi="Times New Roman" w:cs="Times New Roman"/>
          <w:sz w:val="28"/>
          <w:szCs w:val="28"/>
        </w:rPr>
        <w:t>зарегистрирован в Государственной информационной системе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E6CFB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  <w:lang w:val="en-US"/>
        </w:rPr>
        <w:t>gisp</w:t>
      </w:r>
      <w:r w:rsidRPr="00CE6C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E6C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имеет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документально подтвержденные затраты на цель, предусмотренную </w:t>
      </w:r>
      <w:r>
        <w:rPr>
          <w:rFonts w:ascii="Times New Roman" w:hAnsi="Times New Roman" w:cs="Times New Roman"/>
          <w:sz w:val="28"/>
          <w:szCs w:val="28"/>
        </w:rPr>
        <w:t xml:space="preserve">пунктом 1.3 </w:t>
      </w:r>
      <w:r w:rsidRPr="005D3DAB">
        <w:rPr>
          <w:rFonts w:ascii="Times New Roman" w:hAnsi="Times New Roman" w:cs="Times New Roman"/>
          <w:sz w:val="28"/>
          <w:szCs w:val="28"/>
        </w:rPr>
        <w:t>настоящего Порядка, начиная с 1 января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3DA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 результате предоставления субсидии обязуется обеспечить достижение заявленных значений обязательных показателей результата предоставления субсидии по итогам 3-го года от года предоставления Субсидии: </w:t>
      </w:r>
    </w:p>
    <w:p w:rsidR="00363BFF" w:rsidRPr="008C36E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>количество созданных ра</w:t>
      </w:r>
      <w:r>
        <w:rPr>
          <w:rFonts w:ascii="Times New Roman" w:hAnsi="Times New Roman" w:cs="Times New Roman"/>
          <w:sz w:val="28"/>
          <w:szCs w:val="28"/>
        </w:rPr>
        <w:t>бочих мест (накопленным итогом),</w:t>
      </w:r>
    </w:p>
    <w:p w:rsidR="00363BFF" w:rsidRPr="008C36E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  <w:t>и торговли Российской Федерации,</w:t>
      </w:r>
    </w:p>
    <w:p w:rsidR="00363BF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</w:t>
      </w:r>
      <w:r w:rsidRPr="008C36EF">
        <w:rPr>
          <w:rFonts w:ascii="Times New Roman" w:hAnsi="Times New Roman" w:cs="Times New Roman"/>
          <w:sz w:val="28"/>
          <w:szCs w:val="28"/>
        </w:rPr>
        <w:lastRenderedPageBreak/>
        <w:t>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BFF" w:rsidRPr="00B9478A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78A">
        <w:rPr>
          <w:rFonts w:ascii="Times New Roman" w:hAnsi="Times New Roman" w:cs="Times New Roman"/>
          <w:sz w:val="28"/>
          <w:szCs w:val="28"/>
        </w:rPr>
        <w:t>являющимся лизингополучателями предмета лизинга;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78A">
        <w:rPr>
          <w:rFonts w:ascii="Times New Roman" w:hAnsi="Times New Roman" w:cs="Times New Roman"/>
          <w:sz w:val="28"/>
          <w:szCs w:val="28"/>
        </w:rPr>
        <w:t>осуществляющим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по виду</w:t>
      </w:r>
      <w:r w:rsidRPr="00B9478A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Федерации). </w:t>
      </w:r>
    </w:p>
    <w:p w:rsidR="00363BFF" w:rsidRDefault="00363BFF" w:rsidP="00363BFF">
      <w:pPr>
        <w:pStyle w:val="ConsPlusNormal"/>
        <w:tabs>
          <w:tab w:val="left" w:pos="1134"/>
        </w:tabs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5D3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С</w:t>
      </w:r>
      <w:r w:rsidRPr="009077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убсидии </w:t>
      </w:r>
      <w:r w:rsidRPr="009077B2">
        <w:rPr>
          <w:rFonts w:ascii="Times New Roman" w:hAnsi="Times New Roman" w:cs="Times New Roman"/>
          <w:sz w:val="28"/>
          <w:szCs w:val="28"/>
        </w:rPr>
        <w:t xml:space="preserve">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077B2">
        <w:rPr>
          <w:rFonts w:ascii="Times New Roman" w:hAnsi="Times New Roman" w:cs="Times New Roman"/>
          <w:sz w:val="28"/>
          <w:szCs w:val="28"/>
        </w:rPr>
        <w:t xml:space="preserve">плановый период и лимитов бюджетных обязательств, доведенных 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077B2">
        <w:rPr>
          <w:rFonts w:ascii="Times New Roman" w:hAnsi="Times New Roman" w:cs="Times New Roman"/>
          <w:sz w:val="28"/>
          <w:szCs w:val="28"/>
        </w:rPr>
        <w:t xml:space="preserve"> как до получателя бюджетных средств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77B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Pr="009077B2">
        <w:rPr>
          <w:rFonts w:ascii="Times New Roman" w:hAnsi="Times New Roman" w:cs="Times New Roman"/>
          <w:sz w:val="28"/>
          <w:szCs w:val="28"/>
        </w:rPr>
        <w:t>средств бюджета Республики Татарстан</w:t>
      </w:r>
      <w:r w:rsidRPr="005D3DAB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D3DAB">
        <w:rPr>
          <w:rFonts w:ascii="Times New Roman" w:hAnsi="Times New Roman" w:cs="Times New Roman"/>
          <w:sz w:val="28"/>
          <w:szCs w:val="28"/>
        </w:rPr>
        <w:t>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5D3DAB">
        <w:rPr>
          <w:rFonts w:ascii="Times New Roman" w:hAnsi="Times New Roman" w:cs="Times New Roman"/>
          <w:sz w:val="28"/>
          <w:szCs w:val="28"/>
        </w:rPr>
        <w:t xml:space="preserve"> Субсидии предоставляются по результатам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5D3DAB">
        <w:rPr>
          <w:rFonts w:ascii="Times New Roman" w:hAnsi="Times New Roman" w:cs="Times New Roman"/>
          <w:sz w:val="28"/>
          <w:szCs w:val="28"/>
        </w:rPr>
        <w:t>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AE7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 получателя С</w:t>
      </w:r>
      <w:r w:rsidRPr="009077B2">
        <w:rPr>
          <w:rFonts w:ascii="Times New Roman" w:hAnsi="Times New Roman" w:cs="Times New Roman"/>
          <w:sz w:val="28"/>
          <w:szCs w:val="28"/>
        </w:rPr>
        <w:t>убсидии проводится путем запроса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 (далее – заявка).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Pr="005D3DAB">
        <w:rPr>
          <w:rFonts w:ascii="Times New Roman" w:hAnsi="Times New Roman" w:cs="Times New Roman"/>
          <w:sz w:val="28"/>
          <w:szCs w:val="28"/>
        </w:rPr>
        <w:t>. Информация о субсидиях размещается на едином портале бюджетной системы Российской Федерации в информационно-телекоммуникационной сети «Интернет», в разделе «Бюджет», при формировании проекта закона Республики Татарстан о бюджете Республики Татарстан на текущий финансовый год и на плановый период (проекта закона Республики Татарстан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закон Республики Татарстан о бюджете Республики Татарстан</w:t>
      </w:r>
      <w:r w:rsidRPr="005D3DAB">
        <w:rPr>
          <w:rFonts w:ascii="Times New Roman" w:hAnsi="Times New Roman" w:cs="Times New Roman"/>
          <w:sz w:val="28"/>
          <w:szCs w:val="28"/>
        </w:rPr>
        <w:t>).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keepNext/>
        <w:keepLines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8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C1C81">
        <w:rPr>
          <w:rFonts w:ascii="Times New Roman" w:hAnsi="Times New Roman" w:cs="Times New Roman"/>
          <w:sz w:val="28"/>
          <w:szCs w:val="28"/>
        </w:rPr>
        <w:t xml:space="preserve">. Порядок проведения отбора </w:t>
      </w:r>
    </w:p>
    <w:p w:rsidR="00363BFF" w:rsidRPr="005C1C81" w:rsidRDefault="00363BFF" w:rsidP="00363BFF">
      <w:pPr>
        <w:keepNext/>
        <w:keepLines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Уполномоченный орган</w:t>
      </w:r>
      <w:r w:rsidRPr="005D3DAB">
        <w:rPr>
          <w:rFonts w:ascii="Times New Roman" w:hAnsi="Times New Roman" w:cs="Times New Roman"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3DAB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дней до даты приема </w:t>
      </w:r>
      <w:r>
        <w:rPr>
          <w:rFonts w:ascii="Times New Roman" w:hAnsi="Times New Roman" w:cs="Times New Roman"/>
          <w:sz w:val="28"/>
          <w:szCs w:val="28"/>
        </w:rPr>
        <w:t xml:space="preserve">заявок, </w:t>
      </w:r>
      <w:r w:rsidRPr="005D3DAB">
        <w:rPr>
          <w:rFonts w:ascii="Times New Roman" w:hAnsi="Times New Roman" w:cs="Times New Roman"/>
          <w:sz w:val="28"/>
          <w:szCs w:val="28"/>
        </w:rPr>
        <w:t xml:space="preserve">размещает на едином портале и на официальном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https://mpt.tatarstan.ru/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3DAB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 xml:space="preserve">) объявление о проведении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с указанием: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сроков проведения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(даты и времени начала (окончания) подачи (приема) заявок), которые не могут быть меньше 30 календарных дней, следующих за днем размещения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, а также информации о возможности проведения нескольких этапов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с указанием сроков (порядка) их проведения (при необходимости);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адрес местонахождения (почтовый адрес)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для представления заявок, адрес электронной почты, номера телефонов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цели предоставления субсидий в соответствии с </w:t>
      </w:r>
      <w:hyperlink w:anchor="P56" w:history="1">
        <w:r w:rsidRPr="009A6D0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1.3</w:t>
        </w:r>
      </w:hyperlink>
      <w:r w:rsidRPr="009A6D0D">
        <w:rPr>
          <w:rFonts w:ascii="Times New Roman" w:hAnsi="Times New Roman" w:cs="Times New Roman"/>
          <w:sz w:val="28"/>
          <w:szCs w:val="28"/>
        </w:rPr>
        <w:t xml:space="preserve"> нас</w:t>
      </w:r>
      <w:r w:rsidRPr="005D3DAB">
        <w:rPr>
          <w:rFonts w:ascii="Times New Roman" w:hAnsi="Times New Roman" w:cs="Times New Roman"/>
          <w:sz w:val="28"/>
          <w:szCs w:val="28"/>
        </w:rPr>
        <w:t>тоящего Порядка, а также результатов предоставления субсидии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пунктом 3.8 </w:t>
      </w:r>
      <w:r w:rsidRPr="00736549">
        <w:rPr>
          <w:rFonts w:ascii="Times New Roman" w:hAnsi="Times New Roman" w:cs="Times New Roman"/>
          <w:sz w:val="28"/>
          <w:szCs w:val="28"/>
        </w:rPr>
        <w:t>настоящег</w:t>
      </w:r>
      <w:r w:rsidRPr="005D3DAB">
        <w:rPr>
          <w:rFonts w:ascii="Times New Roman" w:hAnsi="Times New Roman" w:cs="Times New Roman"/>
          <w:sz w:val="28"/>
          <w:szCs w:val="28"/>
        </w:rPr>
        <w:t>о Порядка;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lastRenderedPageBreak/>
        <w:t xml:space="preserve">доменного имени, и (или) сетевого адреса, и (или) указателей страниц сайта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 xml:space="preserve">, на котором обеспечивается проведение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требований к участникам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и перечня документов, представляемых участниками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для подтверждения их соответствия указанным требованиям;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порядка подачи заявок и требований, предъявляемых к форме и содержанию заявок, подаваемых участниками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>правил рассмотрения заявок;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предоставления участникам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>, даты начала и окончания срока такого предоставления;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срока, в течение которого участник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, признанный победителем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>, должен подписать соглашение о предоставлении субсидии (далее - соглашение);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условий признания победителей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уклонившимися от заключения соглашения;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даты размещения результатов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 xml:space="preserve"> на едином портале и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 xml:space="preserve">, которая не может быть позднее 14 календарного дня, следующего за днем определения победителей </w:t>
      </w:r>
      <w:r>
        <w:rPr>
          <w:rFonts w:ascii="Times New Roman" w:hAnsi="Times New Roman" w:cs="Times New Roman"/>
          <w:sz w:val="28"/>
          <w:szCs w:val="28"/>
        </w:rPr>
        <w:t>отбора</w:t>
      </w:r>
      <w:r w:rsidRPr="005D3DAB">
        <w:rPr>
          <w:rFonts w:ascii="Times New Roman" w:hAnsi="Times New Roman" w:cs="Times New Roman"/>
          <w:sz w:val="28"/>
          <w:szCs w:val="28"/>
        </w:rPr>
        <w:t>.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A717CF">
        <w:rPr>
          <w:rFonts w:ascii="Times New Roman" w:hAnsi="Times New Roman" w:cs="Times New Roman"/>
          <w:sz w:val="28"/>
          <w:szCs w:val="28"/>
        </w:rPr>
        <w:t>2.3. На первое число месяца, в котором подается заявка, участник отбора должен соответствовать следующим требованиям: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у участника отбора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>
        <w:rPr>
          <w:rFonts w:ascii="Times New Roman" w:hAnsi="Times New Roman" w:cs="Times New Roman"/>
          <w:sz w:val="28"/>
          <w:szCs w:val="28"/>
        </w:rPr>
        <w:t>рство или территория, включенные</w:t>
      </w:r>
      <w:r w:rsidRPr="00A717CF">
        <w:rPr>
          <w:rFonts w:ascii="Times New Roman" w:hAnsi="Times New Roman" w:cs="Times New Roman"/>
          <w:sz w:val="28"/>
          <w:szCs w:val="28"/>
        </w:rPr>
        <w:t xml:space="preserve">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363BFF" w:rsidRPr="00A717CF" w:rsidRDefault="00363BFF" w:rsidP="0036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 xml:space="preserve">участник отбора не получает средства из бюджета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Федерации, бюджета </w:t>
      </w:r>
      <w:r w:rsidRPr="00A717CF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, местных бюджетов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 основании иных нормативных правовых актов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5D3DAB">
        <w:rPr>
          <w:rFonts w:ascii="Times New Roman" w:hAnsi="Times New Roman" w:cs="Times New Roman"/>
          <w:sz w:val="28"/>
          <w:szCs w:val="28"/>
        </w:rPr>
        <w:t>соответству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3DAB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критериям</w:t>
      </w:r>
      <w:r w:rsidRPr="005D3DAB">
        <w:rPr>
          <w:rFonts w:ascii="Times New Roman" w:hAnsi="Times New Roman" w:cs="Times New Roman"/>
          <w:sz w:val="28"/>
          <w:szCs w:val="28"/>
        </w:rPr>
        <w:t>, указанным в</w:t>
      </w:r>
      <w:r>
        <w:rPr>
          <w:rFonts w:ascii="Times New Roman" w:hAnsi="Times New Roman" w:cs="Times New Roman"/>
          <w:sz w:val="28"/>
          <w:szCs w:val="28"/>
        </w:rPr>
        <w:t xml:space="preserve"> пункте 1.4 настоящего Порядка.</w:t>
      </w:r>
    </w:p>
    <w:p w:rsidR="00363BFF" w:rsidRPr="009E5791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791">
        <w:rPr>
          <w:rFonts w:ascii="Times New Roman" w:hAnsi="Times New Roman" w:cs="Times New Roman"/>
          <w:sz w:val="28"/>
          <w:szCs w:val="28"/>
        </w:rPr>
        <w:t xml:space="preserve">2.4 Предмет лизинга должен относиться ко второй и выше амортизационным группам Классификации основных средств согласно </w:t>
      </w:r>
      <w:hyperlink r:id="rId14" w:history="1">
        <w:r w:rsidRPr="009E579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Классификации</w:t>
        </w:r>
      </w:hyperlink>
      <w:r w:rsidRPr="009E5791">
        <w:rPr>
          <w:rFonts w:ascii="Times New Roman" w:hAnsi="Times New Roman" w:cs="Times New Roman"/>
          <w:sz w:val="28"/>
          <w:szCs w:val="28"/>
        </w:rPr>
        <w:t xml:space="preserve"> основных </w:t>
      </w:r>
      <w:r w:rsidRPr="009E5791">
        <w:rPr>
          <w:rFonts w:ascii="Times New Roman" w:hAnsi="Times New Roman" w:cs="Times New Roman"/>
          <w:sz w:val="28"/>
          <w:szCs w:val="28"/>
        </w:rPr>
        <w:lastRenderedPageBreak/>
        <w:t>средств, утвержденной постановлением Правительства Российской Федерации от 1 января 2002 года № 1 «О Классификации основных средств, включаемых в амортизационные группы».</w:t>
      </w:r>
    </w:p>
    <w:p w:rsidR="00363BFF" w:rsidRPr="009E5791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0"/>
      <w:bookmarkEnd w:id="4"/>
      <w:r w:rsidRPr="009E5791">
        <w:rPr>
          <w:rFonts w:ascii="Times New Roman" w:hAnsi="Times New Roman" w:cs="Times New Roman"/>
          <w:sz w:val="28"/>
          <w:szCs w:val="28"/>
        </w:rPr>
        <w:t>2.5. В целях участия в отборе участник отбора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5791">
        <w:rPr>
          <w:rFonts w:ascii="Times New Roman" w:hAnsi="Times New Roman" w:cs="Times New Roman"/>
          <w:sz w:val="28"/>
          <w:szCs w:val="28"/>
        </w:rPr>
        <w:t>т в Уполномоченный орган заявки, включающие: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91">
        <w:rPr>
          <w:rFonts w:ascii="Times New Roman" w:hAnsi="Times New Roman" w:cs="Times New Roman"/>
          <w:sz w:val="28"/>
          <w:szCs w:val="28"/>
        </w:rPr>
        <w:t>а) заявление о предоставлении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Субсидии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A717CF">
        <w:rPr>
          <w:rFonts w:ascii="Times New Roman" w:hAnsi="Times New Roman" w:cs="Times New Roman"/>
          <w:sz w:val="28"/>
          <w:szCs w:val="28"/>
        </w:rPr>
        <w:t xml:space="preserve"> к настоящему Порядку, подписанное руководителем участника отбора, содержащее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</w:t>
      </w:r>
      <w:r>
        <w:rPr>
          <w:rFonts w:ascii="Times New Roman" w:hAnsi="Times New Roman" w:cs="Times New Roman"/>
          <w:sz w:val="28"/>
          <w:szCs w:val="28"/>
        </w:rPr>
        <w:t>; обязательные показатели эффективности предоставления субсидии по итогам третьего от года предоставления Субсидии, включая:</w:t>
      </w:r>
    </w:p>
    <w:p w:rsidR="00363BFF" w:rsidRPr="008C36E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>количество созданных ра</w:t>
      </w:r>
      <w:r>
        <w:rPr>
          <w:rFonts w:ascii="Times New Roman" w:hAnsi="Times New Roman" w:cs="Times New Roman"/>
          <w:sz w:val="28"/>
          <w:szCs w:val="28"/>
        </w:rPr>
        <w:t>бочих мест (накопленным итогом),</w:t>
      </w:r>
    </w:p>
    <w:p w:rsidR="00363BFF" w:rsidRPr="008C36E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  <w:t>и торговли Российской Федерации,</w:t>
      </w:r>
    </w:p>
    <w:p w:rsidR="00363BFF" w:rsidRPr="008C36EF" w:rsidRDefault="00363BFF" w:rsidP="00363BFF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C36EF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</w:r>
      <w:r>
        <w:rPr>
          <w:rFonts w:ascii="Times New Roman" w:hAnsi="Times New Roman" w:cs="Times New Roman"/>
          <w:sz w:val="28"/>
          <w:szCs w:val="28"/>
        </w:rPr>
        <w:t>и торговли Российской Федерации;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обязательство о возврате субсидии в бюджет Республики Татарстан в случае не достижения заявленных показателей эффективности предоставления субсидии</w:t>
      </w:r>
      <w:r w:rsidRPr="00A717CF">
        <w:rPr>
          <w:rFonts w:ascii="Times New Roman" w:hAnsi="Times New Roman" w:cs="Times New Roman"/>
          <w:sz w:val="28"/>
          <w:szCs w:val="28"/>
        </w:rPr>
        <w:t>;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A717CF">
        <w:rPr>
          <w:rFonts w:ascii="Times New Roman" w:hAnsi="Times New Roman" w:cs="Times New Roman"/>
          <w:sz w:val="28"/>
          <w:szCs w:val="28"/>
        </w:rPr>
        <w:t>справку, подписанную руководителем участника отбора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7CF">
        <w:rPr>
          <w:rFonts w:ascii="Times New Roman" w:hAnsi="Times New Roman" w:cs="Times New Roman"/>
          <w:sz w:val="28"/>
          <w:szCs w:val="28"/>
        </w:rPr>
        <w:t xml:space="preserve"> о соответствии участника отбора требованиям, установленным пунктом 2.3 настоящего Порядка (в свободной форме);</w:t>
      </w:r>
    </w:p>
    <w:p w:rsidR="00363BFF" w:rsidRPr="00A717C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A717CF">
        <w:rPr>
          <w:rFonts w:ascii="Times New Roman" w:hAnsi="Times New Roman" w:cs="Times New Roman"/>
          <w:sz w:val="28"/>
          <w:szCs w:val="28"/>
        </w:rPr>
        <w:t>справку, подписанную руководителем и главным бухгалтером участника отбора (иным должностным лицом, на которое возложено ведение бухгалтерского учета), скрепленную печатью участника отбора (при наличии), с указанием реквизитов расчетного или корреспондентского счета, открытого получателем Субсидии в учреждении Центрального банка Российской Федерации или кредитной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организации, для перечисления С</w:t>
      </w:r>
      <w:r w:rsidRPr="00A717CF">
        <w:rPr>
          <w:rFonts w:ascii="Times New Roman" w:hAnsi="Times New Roman" w:cs="Times New Roman"/>
          <w:sz w:val="28"/>
          <w:szCs w:val="28"/>
        </w:rPr>
        <w:t>убсидии (в свободной форме);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74282">
        <w:rPr>
          <w:rFonts w:ascii="Times New Roman" w:hAnsi="Times New Roman" w:cs="Times New Roman"/>
          <w:sz w:val="28"/>
          <w:szCs w:val="28"/>
        </w:rPr>
        <w:t>справку-расчет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Pr="00B74282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№2 к настоящему Порядку</w:t>
      </w:r>
      <w:r w:rsidRPr="00A717CF">
        <w:rPr>
          <w:rFonts w:ascii="Times New Roman" w:hAnsi="Times New Roman" w:cs="Times New Roman"/>
          <w:sz w:val="28"/>
          <w:szCs w:val="28"/>
        </w:rPr>
        <w:t>, подписанную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CF">
        <w:rPr>
          <w:rFonts w:ascii="Times New Roman" w:hAnsi="Times New Roman" w:cs="Times New Roman"/>
          <w:sz w:val="28"/>
          <w:szCs w:val="28"/>
        </w:rPr>
        <w:t>и главным бухгалтером участника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7CF">
        <w:rPr>
          <w:rFonts w:ascii="Times New Roman" w:hAnsi="Times New Roman" w:cs="Times New Roman"/>
          <w:sz w:val="28"/>
          <w:szCs w:val="28"/>
        </w:rPr>
        <w:t>(иным должностным лицом, на которое возложено ведение бухгалтерского учета)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7CF"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3DAB">
        <w:rPr>
          <w:rFonts w:ascii="Times New Roman" w:hAnsi="Times New Roman" w:cs="Times New Roman"/>
          <w:sz w:val="28"/>
          <w:szCs w:val="28"/>
        </w:rPr>
        <w:t xml:space="preserve">убсидии по форме, утвержденной приказом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D3DAB">
        <w:rPr>
          <w:rFonts w:ascii="Times New Roman" w:hAnsi="Times New Roman" w:cs="Times New Roman"/>
          <w:sz w:val="28"/>
          <w:szCs w:val="28"/>
        </w:rPr>
        <w:t xml:space="preserve"> размещенной на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202">
        <w:rPr>
          <w:rFonts w:ascii="Times New Roman" w:hAnsi="Times New Roman" w:cs="Times New Roman"/>
          <w:sz w:val="28"/>
          <w:szCs w:val="28"/>
        </w:rPr>
        <w:t>д)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202">
        <w:rPr>
          <w:rFonts w:ascii="Times New Roman" w:hAnsi="Times New Roman" w:cs="Times New Roman"/>
          <w:sz w:val="28"/>
          <w:szCs w:val="28"/>
        </w:rPr>
        <w:t xml:space="preserve"> договора (договоров) </w:t>
      </w:r>
      <w:r w:rsidRPr="005D3DAB">
        <w:rPr>
          <w:rFonts w:ascii="Times New Roman" w:hAnsi="Times New Roman" w:cs="Times New Roman"/>
          <w:sz w:val="28"/>
          <w:szCs w:val="28"/>
        </w:rPr>
        <w:t>лизинга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>с российскими лизинговыми организациями;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60120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202"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>документов, подтверждающих осуществление затрат на уплату первого взноса (аванса) при заключении договора (договоров) лизинга оборудования с российскими лизинговыми организациями;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Pr="00601202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202"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>акта приема-передачи оборудования, подписанного с лизинговой организацией, и (или)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3DAB">
        <w:rPr>
          <w:rFonts w:ascii="Times New Roman" w:hAnsi="Times New Roman" w:cs="Times New Roman"/>
          <w:sz w:val="28"/>
          <w:szCs w:val="28"/>
        </w:rPr>
        <w:t xml:space="preserve">документа, подписанного сторонами лизинговой сделки, подтверждающего факт передачи оборудования </w:t>
      </w:r>
      <w:r>
        <w:rPr>
          <w:rFonts w:ascii="Times New Roman" w:hAnsi="Times New Roman" w:cs="Times New Roman"/>
          <w:sz w:val="28"/>
          <w:szCs w:val="28"/>
        </w:rPr>
        <w:t>участнику отбора</w:t>
      </w:r>
      <w:r w:rsidRPr="005D3DAB">
        <w:rPr>
          <w:rFonts w:ascii="Times New Roman" w:hAnsi="Times New Roman" w:cs="Times New Roman"/>
          <w:sz w:val="28"/>
          <w:szCs w:val="28"/>
        </w:rPr>
        <w:t>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копии </w:t>
      </w:r>
      <w:r w:rsidRPr="005D3DAB">
        <w:rPr>
          <w:rFonts w:ascii="Times New Roman" w:hAnsi="Times New Roman" w:cs="Times New Roman"/>
          <w:sz w:val="28"/>
          <w:szCs w:val="28"/>
        </w:rPr>
        <w:t>документов, подтверждающих ввод в эксплуатацию нового оборудования;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D3DAB">
        <w:rPr>
          <w:rFonts w:ascii="Times New Roman" w:hAnsi="Times New Roman" w:cs="Times New Roman"/>
          <w:sz w:val="28"/>
          <w:szCs w:val="28"/>
        </w:rPr>
        <w:t xml:space="preserve">) согласие </w:t>
      </w:r>
      <w:r>
        <w:rPr>
          <w:rFonts w:ascii="Times New Roman" w:hAnsi="Times New Roman" w:cs="Times New Roman"/>
          <w:sz w:val="28"/>
          <w:szCs w:val="28"/>
        </w:rPr>
        <w:t>участника отбора, подписанное руководителем участника отбора,</w:t>
      </w:r>
      <w:r w:rsidRPr="005D3DAB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>
        <w:rPr>
          <w:rFonts w:ascii="Times New Roman" w:hAnsi="Times New Roman" w:cs="Times New Roman"/>
          <w:sz w:val="28"/>
          <w:szCs w:val="28"/>
        </w:rPr>
        <w:t>Уполномоченным органо</w:t>
      </w:r>
      <w:r w:rsidRPr="005D3DAB">
        <w:rPr>
          <w:rFonts w:ascii="Times New Roman" w:hAnsi="Times New Roman" w:cs="Times New Roman"/>
          <w:sz w:val="28"/>
          <w:szCs w:val="28"/>
        </w:rPr>
        <w:t>м и органами государственного финансового контроля проверок соблюдения условий, цели и 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указанные в подпунктах «д»-«з» настоящего пункта, заверяются руководителем участника отбора.</w:t>
      </w:r>
    </w:p>
    <w:p w:rsidR="00363BFF" w:rsidRPr="00A543C0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543C0">
        <w:rPr>
          <w:rFonts w:ascii="Times New Roman" w:hAnsi="Times New Roman" w:cs="Times New Roman"/>
          <w:sz w:val="28"/>
          <w:szCs w:val="28"/>
        </w:rPr>
        <w:t xml:space="preserve">. Участник отбора вправе по собственному усмотрению представить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543C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363BFF" w:rsidRPr="00A543C0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363BFF" w:rsidRPr="00A543C0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органе;</w:t>
      </w:r>
    </w:p>
    <w:p w:rsidR="00363BFF" w:rsidRPr="00A543C0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</w:t>
      </w:r>
      <w:r>
        <w:rPr>
          <w:rFonts w:ascii="Times New Roman" w:hAnsi="Times New Roman" w:cs="Times New Roman"/>
          <w:sz w:val="28"/>
          <w:szCs w:val="28"/>
        </w:rPr>
        <w:t>х взносов, пеней, штрафов и про</w:t>
      </w:r>
      <w:r w:rsidRPr="00A543C0">
        <w:rPr>
          <w:rFonts w:ascii="Times New Roman" w:hAnsi="Times New Roman" w:cs="Times New Roman"/>
          <w:sz w:val="28"/>
          <w:szCs w:val="28"/>
        </w:rPr>
        <w:t xml:space="preserve">центов, подлежащих уплате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</w:t>
      </w:r>
      <w:r w:rsidRPr="00A543C0">
        <w:rPr>
          <w:rFonts w:ascii="Times New Roman" w:hAnsi="Times New Roman" w:cs="Times New Roman"/>
          <w:sz w:val="28"/>
          <w:szCs w:val="28"/>
        </w:rPr>
        <w:t>дерации о налогах и сборах;</w:t>
      </w:r>
    </w:p>
    <w:p w:rsidR="00363BFF" w:rsidRPr="00A543C0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43C0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документов, указанных в настоящем пункте,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A543C0">
        <w:rPr>
          <w:rFonts w:ascii="Times New Roman" w:hAnsi="Times New Roman" w:cs="Times New Roman"/>
          <w:sz w:val="28"/>
          <w:szCs w:val="28"/>
        </w:rPr>
        <w:t xml:space="preserve"> запрашивает их в порядке межведомственного информационного взаимодействия.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077B2">
        <w:rPr>
          <w:rFonts w:ascii="Times New Roman" w:hAnsi="Times New Roman" w:cs="Times New Roman"/>
          <w:sz w:val="28"/>
          <w:szCs w:val="28"/>
        </w:rPr>
        <w:t>. Участник отбора несет ответственность за достоверность представляемых документов и сведений согласно законодательству Российской Федерации.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3"/>
      <w:bookmarkEnd w:id="5"/>
      <w:r w:rsidRPr="009077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77B2">
        <w:rPr>
          <w:rFonts w:ascii="Times New Roman" w:hAnsi="Times New Roman" w:cs="Times New Roman"/>
          <w:sz w:val="28"/>
          <w:szCs w:val="28"/>
        </w:rPr>
        <w:t xml:space="preserve">. Заявка, подаваемая на бумажном носителе, должна быть прошита, пронумерована, подписана лицом, имеющим право действовать без доверенности от имени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9077B2">
        <w:rPr>
          <w:rFonts w:ascii="Times New Roman" w:hAnsi="Times New Roman" w:cs="Times New Roman"/>
          <w:sz w:val="28"/>
          <w:szCs w:val="28"/>
        </w:rPr>
        <w:t>, или уполномоченным лицом и заверена печатью (при ее наличии).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В случае подачи заявки в электронном виде чере</w:t>
      </w:r>
      <w:r>
        <w:rPr>
          <w:rFonts w:ascii="Times New Roman" w:hAnsi="Times New Roman" w:cs="Times New Roman"/>
          <w:sz w:val="28"/>
          <w:szCs w:val="28"/>
        </w:rPr>
        <w:t>з сайт Уполномоченного органа</w:t>
      </w:r>
      <w:r w:rsidRPr="009077B2">
        <w:rPr>
          <w:rFonts w:ascii="Times New Roman" w:hAnsi="Times New Roman" w:cs="Times New Roman"/>
          <w:sz w:val="28"/>
          <w:szCs w:val="28"/>
        </w:rPr>
        <w:t xml:space="preserve"> документы, входящие в состав заявки, ск</w:t>
      </w:r>
      <w:r>
        <w:rPr>
          <w:rFonts w:ascii="Times New Roman" w:hAnsi="Times New Roman" w:cs="Times New Roman"/>
          <w:sz w:val="28"/>
          <w:szCs w:val="28"/>
        </w:rPr>
        <w:t xml:space="preserve">анируются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077B2">
        <w:rPr>
          <w:rFonts w:ascii="Times New Roman" w:hAnsi="Times New Roman" w:cs="Times New Roman"/>
          <w:sz w:val="28"/>
          <w:szCs w:val="28"/>
        </w:rPr>
        <w:t xml:space="preserve"> и подписываются усиленной квалифицированной электронной подписью руководителя участника отбора.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Сведения в электронных документах, сформированных на основании оригиналов на бумажных носителях либо их копий, должны совпадать со сведениями, содержащимися в таких оригиналах или копиях.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5D3D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D3DAB">
        <w:rPr>
          <w:rFonts w:ascii="Times New Roman" w:hAnsi="Times New Roman" w:cs="Times New Roman"/>
          <w:sz w:val="28"/>
          <w:szCs w:val="28"/>
        </w:rPr>
        <w:t xml:space="preserve"> регистрирует заявки в день их поступления в порядке очередности в журнале регистрации, листы которого должны быть пронумерованы, прошнурованы и скреплены печатью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5D3DAB">
        <w:rPr>
          <w:rFonts w:ascii="Times New Roman" w:hAnsi="Times New Roman" w:cs="Times New Roman"/>
          <w:sz w:val="28"/>
          <w:szCs w:val="28"/>
        </w:rPr>
        <w:t>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077B2">
        <w:rPr>
          <w:rFonts w:ascii="Times New Roman" w:hAnsi="Times New Roman" w:cs="Times New Roman"/>
          <w:sz w:val="28"/>
          <w:szCs w:val="28"/>
        </w:rPr>
        <w:t>. Участник отбора вправе внести изменения в заявку в течение срока проведения отбора, указанного в объявлении о проведении отбора.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Датой подачи заявки считается: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а) дата и время подачи заявки участником отбора;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б) дата и время направления заявки в электронном виде через официальный сайт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077B2">
        <w:rPr>
          <w:rFonts w:ascii="Times New Roman" w:hAnsi="Times New Roman" w:cs="Times New Roman"/>
          <w:sz w:val="28"/>
          <w:szCs w:val="28"/>
        </w:rPr>
        <w:t>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При этом ранее направленная участником отбора заявка не рассматривается. </w:t>
      </w:r>
      <w:r w:rsidRPr="009077B2">
        <w:rPr>
          <w:rFonts w:ascii="Times New Roman" w:hAnsi="Times New Roman" w:cs="Times New Roman"/>
          <w:sz w:val="28"/>
          <w:szCs w:val="28"/>
        </w:rPr>
        <w:lastRenderedPageBreak/>
        <w:t xml:space="preserve">При наличии заявления о возврате заявки, поданной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077B2">
        <w:rPr>
          <w:rFonts w:ascii="Times New Roman" w:hAnsi="Times New Roman" w:cs="Times New Roman"/>
          <w:sz w:val="28"/>
          <w:szCs w:val="28"/>
        </w:rPr>
        <w:t xml:space="preserve"> на бумажном носителе, заявка возвращается участнику отбора лично или уполномоченному</w:t>
      </w:r>
      <w:r w:rsidRPr="009077B2">
        <w:t xml:space="preserve"> </w:t>
      </w:r>
      <w:r w:rsidRPr="009077B2">
        <w:rPr>
          <w:rFonts w:ascii="Times New Roman" w:hAnsi="Times New Roman" w:cs="Times New Roman"/>
          <w:sz w:val="28"/>
          <w:szCs w:val="28"/>
        </w:rPr>
        <w:t>лицу в день подачи заявления о возврате заявки.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077B2">
        <w:rPr>
          <w:rFonts w:ascii="Times New Roman" w:hAnsi="Times New Roman" w:cs="Times New Roman"/>
          <w:sz w:val="28"/>
          <w:szCs w:val="28"/>
        </w:rPr>
        <w:t>. 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27"/>
      <w:bookmarkEnd w:id="6"/>
      <w:r w:rsidRPr="009E5791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E5791">
        <w:rPr>
          <w:rFonts w:ascii="Times New Roman" w:hAnsi="Times New Roman" w:cs="Times New Roman"/>
          <w:sz w:val="28"/>
          <w:szCs w:val="28"/>
        </w:rPr>
        <w:t xml:space="preserve">. Заявки рассматриваются Уполномоченным органом в течение 10 рабочих дней со дня окончания срока приема заявок путем проведения проверки соблюдения участниками отбора срока подачи заявок, соответствия участников отбора критериям, предусмотренным </w:t>
      </w:r>
      <w:hyperlink w:anchor="Par56" w:tooltip="1.6. Юридическое лицо должно соответствовать следующим критериям:" w:history="1">
        <w:r w:rsidRPr="009E5791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Pr="009E5791">
        <w:rPr>
          <w:rFonts w:ascii="Times New Roman" w:hAnsi="Times New Roman" w:cs="Times New Roman"/>
          <w:sz w:val="28"/>
          <w:szCs w:val="28"/>
        </w:rPr>
        <w:t>4 настоящего Порядка, требованиям к участникам отбора, определенным пунктом 2.3</w:t>
      </w:r>
      <w:r>
        <w:rPr>
          <w:rFonts w:ascii="Times New Roman" w:hAnsi="Times New Roman" w:cs="Times New Roman"/>
          <w:sz w:val="28"/>
          <w:szCs w:val="28"/>
        </w:rPr>
        <w:t xml:space="preserve"> и 2.4</w:t>
      </w:r>
      <w:r w:rsidRPr="009E5791">
        <w:rPr>
          <w:rFonts w:ascii="Times New Roman" w:hAnsi="Times New Roman" w:cs="Times New Roman"/>
          <w:sz w:val="28"/>
          <w:szCs w:val="28"/>
        </w:rPr>
        <w:t xml:space="preserve"> настоящего Порядка, документов, представленных участниками отбора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E5791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, а также путём оценки и сопоставления заявок, определении их весовых значений в общей оценке, определения итогового рейтинга заявки, сопоставления показателей эффективности заявок на один </w:t>
      </w:r>
      <w:r w:rsidRPr="001D6747">
        <w:rPr>
          <w:rFonts w:ascii="Times New Roman" w:hAnsi="Times New Roman" w:cs="Times New Roman"/>
          <w:sz w:val="28"/>
          <w:szCs w:val="28"/>
        </w:rPr>
        <w:t>рубль запрашиваемо</w:t>
      </w:r>
      <w:r>
        <w:rPr>
          <w:rFonts w:ascii="Times New Roman" w:hAnsi="Times New Roman" w:cs="Times New Roman"/>
          <w:sz w:val="28"/>
          <w:szCs w:val="28"/>
        </w:rPr>
        <w:t>й Субсидии с показателями эффективности соответствующего мероприятия Программы на один рубль бюджетных ассигнований.</w:t>
      </w:r>
    </w:p>
    <w:p w:rsidR="00363BFF" w:rsidRPr="009077B2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77B2">
        <w:rPr>
          <w:rFonts w:ascii="Times New Roman" w:hAnsi="Times New Roman" w:cs="Times New Roman"/>
          <w:sz w:val="28"/>
          <w:szCs w:val="28"/>
        </w:rPr>
        <w:t>. Основаниями для отклонения заявок на стадии рассмотрения заявок являются: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несоответствие критериям и (</w:t>
      </w:r>
      <w:r>
        <w:rPr>
          <w:rFonts w:ascii="Times New Roman" w:hAnsi="Times New Roman" w:cs="Times New Roman"/>
          <w:sz w:val="28"/>
          <w:szCs w:val="28"/>
        </w:rPr>
        <w:t>или) требованиям, установленным</w:t>
      </w:r>
      <w:r w:rsidRPr="00A717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пунктами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4, 2.3, 2.4 </w:t>
      </w:r>
      <w:r w:rsidRPr="00A717CF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717CF">
        <w:rPr>
          <w:rFonts w:ascii="Times New Roman" w:hAnsi="Times New Roman" w:cs="Times New Roman"/>
          <w:sz w:val="28"/>
          <w:szCs w:val="28"/>
        </w:rPr>
        <w:t>участником отбора заявки и документов в составе заявки</w:t>
      </w:r>
      <w:r>
        <w:rPr>
          <w:rFonts w:ascii="Times New Roman" w:hAnsi="Times New Roman" w:cs="Times New Roman"/>
          <w:sz w:val="28"/>
          <w:szCs w:val="28"/>
        </w:rPr>
        <w:t>, не соответствующих</w:t>
      </w:r>
      <w:r w:rsidRPr="00A717CF">
        <w:rPr>
          <w:rFonts w:ascii="Times New Roman" w:hAnsi="Times New Roman" w:cs="Times New Roman"/>
          <w:sz w:val="28"/>
          <w:szCs w:val="28"/>
        </w:rPr>
        <w:t xml:space="preserve"> требованиям к заявкам, установленным в объявлении о проведении отбора, или непредставление (представление не в полном объеме) указанных документов;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направление участником отбора заявки после даты и (или) времени, определенных для подачи заявок;</w:t>
      </w:r>
    </w:p>
    <w:p w:rsidR="00363BF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неполнота сведений, содержащихся в представленных участником отбора документах в составе заявки;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766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обязательств, доведенных до уполномоченного органа.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</w:t>
      </w:r>
      <w:r w:rsidRPr="00A717CF">
        <w:rPr>
          <w:rFonts w:ascii="Times New Roman" w:hAnsi="Times New Roman" w:cs="Times New Roman"/>
          <w:sz w:val="28"/>
          <w:szCs w:val="28"/>
        </w:rPr>
        <w:t xml:space="preserve"> лимита бюджетных обязате</w:t>
      </w:r>
      <w:r>
        <w:rPr>
          <w:rFonts w:ascii="Times New Roman" w:hAnsi="Times New Roman" w:cs="Times New Roman"/>
          <w:sz w:val="28"/>
          <w:szCs w:val="28"/>
        </w:rPr>
        <w:t>льств на предоставление Субсидии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 цели, указанные в пункте </w:t>
      </w:r>
      <w:hyperlink w:anchor="Par53" w:tooltip="1.3. Субсидии в соответствии с Порядком предоставляются в целях обеспечения комплексного, сбалансированного и устойчивого социально-экономического и инновационного развития Краснодарского края в рамках реализации мероприятия &quot;Предоставление субсидий юридически" w:history="1">
        <w:r w:rsidRPr="00A717CF">
          <w:rPr>
            <w:rFonts w:ascii="Times New Roman" w:hAnsi="Times New Roman" w:cs="Times New Roman"/>
            <w:sz w:val="28"/>
            <w:szCs w:val="28"/>
          </w:rPr>
          <w:t>1.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соответствующий финансовый год;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 xml:space="preserve">отсутствие усиленной квалифицированной электронной подписи электронного документа (для документов, поданных через официальный сайт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17CF">
        <w:rPr>
          <w:rFonts w:ascii="Times New Roman" w:hAnsi="Times New Roman" w:cs="Times New Roman"/>
          <w:sz w:val="28"/>
          <w:szCs w:val="28"/>
        </w:rPr>
        <w:t>);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несоблюдение установленных статьей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A717CF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</w:t>
      </w:r>
      <w:r w:rsidRPr="00A717CF">
        <w:rPr>
          <w:rFonts w:ascii="Times New Roman" w:hAnsi="Times New Roman" w:cs="Times New Roman"/>
          <w:sz w:val="28"/>
          <w:szCs w:val="28"/>
        </w:rPr>
        <w:br/>
        <w:t xml:space="preserve">2011 года № 63-ФЗ «Об электронной подписи» условий признания действительности усиленной квалифицированной электронной подписи (для документов, поданных через официальный сайт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17CF">
        <w:rPr>
          <w:rFonts w:ascii="Times New Roman" w:hAnsi="Times New Roman" w:cs="Times New Roman"/>
          <w:sz w:val="28"/>
          <w:szCs w:val="28"/>
        </w:rPr>
        <w:t>).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9"/>
      <w:bookmarkEnd w:id="7"/>
      <w:r w:rsidRPr="00A717C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717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обязательных показателей, предусмотренных абзацами седьмым, восьмым и девятым пункта 1.4 настоящего Порядка, и указанных в заявлении </w:t>
      </w:r>
      <w:r w:rsidRPr="009E5791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 определяется итоговый рейтинг заявки</w:t>
      </w:r>
      <w:r w:rsidRPr="001D6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меньшего значения к большему по следующей формуле: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444843" w:rsidRDefault="00363BFF" w:rsidP="00363BFF">
      <w:pPr>
        <w:spacing w:line="240" w:lineRule="atLeast"/>
      </w:pPr>
    </w:p>
    <w:p w:rsidR="00363BFF" w:rsidRPr="00444843" w:rsidRDefault="00363BFF" w:rsidP="00363BFF">
      <w:pPr>
        <w:spacing w:line="240" w:lineRule="atLeast"/>
        <w:jc w:val="center"/>
      </w:pPr>
      <w:r w:rsidRPr="001D6747">
        <w:rPr>
          <w:position w:val="-38"/>
        </w:rPr>
        <w:object w:dxaOrig="23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8.25pt" o:ole="">
            <v:imagedata r:id="rId15" o:title=""/>
          </v:shape>
          <o:OLEObject Type="Embed" ProgID="Equation.3" ShapeID="_x0000_i1025" DrawAspect="Content" ObjectID="_1709645593" r:id="rId16"/>
        </w:object>
      </w:r>
      <w:r w:rsidRPr="00444843">
        <w:t>,</w:t>
      </w:r>
    </w:p>
    <w:p w:rsidR="00363BFF" w:rsidRPr="00444843" w:rsidRDefault="00363BFF" w:rsidP="00363BFF">
      <w:pPr>
        <w:spacing w:line="240" w:lineRule="atLeast"/>
        <w:ind w:firstLine="709"/>
      </w:pPr>
    </w:p>
    <w:p w:rsidR="00363BFF" w:rsidRPr="001D6747" w:rsidRDefault="00363BFF" w:rsidP="00363BF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363BFF" w:rsidRPr="001D6747" w:rsidRDefault="00363BFF" w:rsidP="00363BF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i - порядковый номер заявки;</w:t>
      </w:r>
    </w:p>
    <w:p w:rsidR="00363BFF" w:rsidRDefault="00363BFF" w:rsidP="0036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u1i - рейтинг (ранг)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показателю «количество созданных рабочих мест (накопленным итогом)» на один рубль запрашиваемо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Субсидии среди всех рассматриваемых заявок (заявке с наибольшим показателем присваивается 1 место в рейтинге);</w:t>
      </w:r>
    </w:p>
    <w:p w:rsidR="00363BFF" w:rsidRDefault="00363BFF" w:rsidP="0036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u2i - рейтинг (ранг)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показателю «объем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Федерации», на один рубль запрашиваемо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Субсидии среди всех рассматриваемых заявок (заявке с наибольшим показателем присваивается 1 место в рейтинге);</w:t>
      </w:r>
    </w:p>
    <w:p w:rsidR="00363BFF" w:rsidRDefault="00363BFF" w:rsidP="00363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u3i - рейтинг (ранг)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показателю «объем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Федерации», на один рубль запрашиваемо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рассматриваемых заявок (заявке с наибольшим показателем присваивается 1 место в рейтинге).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Pr="00A717C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заявок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17CF">
        <w:rPr>
          <w:rFonts w:ascii="Times New Roman" w:hAnsi="Times New Roman" w:cs="Times New Roman"/>
          <w:sz w:val="28"/>
          <w:szCs w:val="28"/>
        </w:rPr>
        <w:t xml:space="preserve"> определяет победителя (победителей) отбора и принимает решение о предоставлении субсидии либо об отказе в предоставлении субсидии в срок, не превышающий трех рабочих дней со дня истечения срока, указанного в пункте 2.10 настоящего Порядка.</w:t>
      </w:r>
      <w:bookmarkStart w:id="8" w:name="Par140"/>
      <w:bookmarkEnd w:id="8"/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недостатка лимита бюджетных обязательств для выплаты Субсидии всем победителям отбора, решение о предоставлении Субсидии принимается в соответствии с рейтингом заявки от меньшего к большему, рассчитанному в соответствии с пунктом 2.14 настоящего Порядка. 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после распределения бюджетных ассигнований на выплату Субсидии победителям отбора с наилучшим рейтингом размер оставшихся бюджетных ассигнований недостаточен для выплаты Субсидии победителю отбора в полном объёме, принимается решение об предоставлении Субсидии победителю отбора в размере оставшихся бюджетных ассигнований. При этом при заключении Соглашения о предоставления Субсидии победитель отбора вправе уменьшить значения обязательных показателей результата предоставления Субсидии прямо пропорционально запрошенного размера Субсидии к размеру предоставляемой Субсидии.</w:t>
      </w:r>
    </w:p>
    <w:p w:rsidR="00363BFF" w:rsidRPr="00A717C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717CF">
        <w:rPr>
          <w:rFonts w:ascii="Times New Roman" w:hAnsi="Times New Roman" w:cs="Times New Roman"/>
          <w:sz w:val="28"/>
          <w:szCs w:val="28"/>
        </w:rPr>
        <w:t xml:space="preserve">. Основаниями для принятия решения об </w:t>
      </w:r>
      <w:r>
        <w:rPr>
          <w:rFonts w:ascii="Times New Roman" w:hAnsi="Times New Roman" w:cs="Times New Roman"/>
          <w:sz w:val="28"/>
          <w:szCs w:val="28"/>
        </w:rPr>
        <w:t>отказе в предоставлении Субсидии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363BFF" w:rsidRDefault="00363BFF" w:rsidP="00363BFF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факта недостоверности представленной получателем Субсидии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3BFF" w:rsidRDefault="00363BFF" w:rsidP="00363BFF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исчерпание лимита бюджетных обязате</w:t>
      </w:r>
      <w:r>
        <w:rPr>
          <w:rFonts w:ascii="Times New Roman" w:hAnsi="Times New Roman" w:cs="Times New Roman"/>
          <w:sz w:val="28"/>
          <w:szCs w:val="28"/>
        </w:rPr>
        <w:t>льств на предоставление Субсидии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настоящего Порядка, на соответствующий финансовый год;</w:t>
      </w:r>
    </w:p>
    <w:p w:rsidR="00363BFF" w:rsidRDefault="00363BFF" w:rsidP="00363BFF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 обязательных показателей результата предоставления Субсидии, указанные в заявке, на один </w:t>
      </w:r>
      <w:r w:rsidRPr="001D674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 запрашиваемо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Субсидии (накопленным итогом) меньше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показателей эффективности мероприятия «Возмещение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(накопленным итогом) </w:t>
      </w:r>
      <w:r>
        <w:rPr>
          <w:rFonts w:ascii="Times New Roman" w:hAnsi="Times New Roman" w:cs="Times New Roman"/>
          <w:sz w:val="28"/>
          <w:szCs w:val="28"/>
        </w:rPr>
        <w:t>на один рубль бюджетных ассигнований.</w:t>
      </w:r>
    </w:p>
    <w:p w:rsidR="00363BFF" w:rsidRDefault="00363BFF" w:rsidP="00363BFF">
      <w:pPr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bookmarkStart w:id="9" w:name="P142"/>
      <w:bookmarkEnd w:id="9"/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D3DAB">
        <w:rPr>
          <w:rFonts w:ascii="Times New Roman" w:hAnsi="Times New Roman" w:cs="Times New Roman"/>
          <w:sz w:val="28"/>
          <w:szCs w:val="28"/>
        </w:rPr>
        <w:t xml:space="preserve"> </w:t>
      </w:r>
      <w:r w:rsidRPr="00A717CF">
        <w:rPr>
          <w:rFonts w:ascii="Times New Roman" w:hAnsi="Times New Roman" w:cs="Times New Roman"/>
          <w:sz w:val="28"/>
          <w:szCs w:val="28"/>
        </w:rPr>
        <w:t>в течение двух рабочих дней со дня принятия решения,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пункте 2.15 </w:t>
      </w:r>
      <w:r w:rsidRPr="00A717CF">
        <w:rPr>
          <w:rFonts w:ascii="Times New Roman" w:hAnsi="Times New Roman" w:cs="Times New Roman"/>
          <w:sz w:val="28"/>
          <w:szCs w:val="28"/>
        </w:rPr>
        <w:t>настоящего Порядка, направляет по адресам электронной почты, указанным в заяв</w:t>
      </w:r>
      <w:r>
        <w:rPr>
          <w:rFonts w:ascii="Times New Roman" w:hAnsi="Times New Roman" w:cs="Times New Roman"/>
          <w:sz w:val="28"/>
          <w:szCs w:val="28"/>
        </w:rPr>
        <w:t>лениях о предоставлении Субсидии</w:t>
      </w:r>
      <w:r w:rsidRPr="00A717CF">
        <w:rPr>
          <w:rFonts w:ascii="Times New Roman" w:hAnsi="Times New Roman" w:cs="Times New Roman"/>
          <w:sz w:val="28"/>
          <w:szCs w:val="28"/>
        </w:rPr>
        <w:t>, уведомления о результатах отбора: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получателям Субсидии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– с приложением проекта Соглашения;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участникам отбора, которым отказано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7CF">
        <w:rPr>
          <w:rFonts w:ascii="Times New Roman" w:hAnsi="Times New Roman" w:cs="Times New Roman"/>
          <w:sz w:val="28"/>
          <w:szCs w:val="28"/>
        </w:rPr>
        <w:t xml:space="preserve"> – с указанием причин отказа в предоставлении Субсидии (отклонения их заявок).</w:t>
      </w:r>
    </w:p>
    <w:p w:rsidR="00363BFF" w:rsidRPr="00A717CF" w:rsidRDefault="00363BFF" w:rsidP="00363BFF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7C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717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5D3DAB">
        <w:rPr>
          <w:rFonts w:ascii="Times New Roman" w:hAnsi="Times New Roman" w:cs="Times New Roman"/>
          <w:sz w:val="28"/>
          <w:szCs w:val="28"/>
        </w:rPr>
        <w:t xml:space="preserve"> </w:t>
      </w:r>
      <w:r w:rsidRPr="00A717CF">
        <w:rPr>
          <w:rFonts w:ascii="Times New Roman" w:hAnsi="Times New Roman" w:cs="Times New Roman"/>
          <w:sz w:val="28"/>
          <w:szCs w:val="28"/>
        </w:rPr>
        <w:t>по результатам принятия решений, указанных в пункте 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717C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17C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обеспечивает размещение на едином портале, а также на официальном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A717CF">
        <w:rPr>
          <w:rFonts w:ascii="Times New Roman" w:hAnsi="Times New Roman" w:cs="Times New Roman"/>
          <w:sz w:val="28"/>
          <w:szCs w:val="28"/>
        </w:rPr>
        <w:t xml:space="preserve"> информации о результатах отбора, включающей следующие сведения: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рассмотрены;</w:t>
      </w:r>
    </w:p>
    <w:p w:rsidR="00363BFF" w:rsidRPr="009077B2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63BFF" w:rsidRPr="00985006" w:rsidRDefault="00363BFF" w:rsidP="00363BF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9077B2" w:rsidRDefault="00363BFF" w:rsidP="00363BFF">
      <w:pPr>
        <w:pStyle w:val="ConsPlusTitle"/>
        <w:keepNext/>
        <w:keepLines/>
        <w:spacing w:line="233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77B2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 xml:space="preserve">. Порядок расчета размера Субсидии, условия 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9077B2">
        <w:rPr>
          <w:rFonts w:ascii="Times New Roman" w:hAnsi="Times New Roman" w:cs="Times New Roman"/>
          <w:b w:val="0"/>
          <w:sz w:val="28"/>
          <w:szCs w:val="28"/>
        </w:rPr>
        <w:t>порядок предоставления Субсидии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5D3DAB">
        <w:rPr>
          <w:rFonts w:ascii="Times New Roman" w:hAnsi="Times New Roman" w:cs="Times New Roman"/>
          <w:sz w:val="28"/>
          <w:szCs w:val="28"/>
        </w:rPr>
        <w:t>. Субсидии предоставляются в размере не более 50 процентов фактически понесенных затрат и в сумме, не превышающей 10 млн. рублей</w:t>
      </w:r>
      <w:r>
        <w:rPr>
          <w:rFonts w:ascii="Times New Roman" w:hAnsi="Times New Roman" w:cs="Times New Roman"/>
          <w:sz w:val="28"/>
          <w:szCs w:val="28"/>
        </w:rPr>
        <w:t xml:space="preserve"> на заявителя</w:t>
      </w:r>
      <w:r w:rsidRPr="005D3DAB">
        <w:rPr>
          <w:rFonts w:ascii="Times New Roman" w:hAnsi="Times New Roman" w:cs="Times New Roman"/>
          <w:sz w:val="28"/>
          <w:szCs w:val="28"/>
        </w:rPr>
        <w:t>.</w:t>
      </w:r>
    </w:p>
    <w:p w:rsidR="00363BFF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5"/>
      <w:bookmarkEnd w:id="10"/>
      <w:r>
        <w:rPr>
          <w:rFonts w:ascii="Times New Roman" w:hAnsi="Times New Roman" w:cs="Times New Roman"/>
          <w:sz w:val="28"/>
          <w:szCs w:val="28"/>
        </w:rPr>
        <w:t>3.2. </w:t>
      </w:r>
      <w:r w:rsidRPr="00A717CF">
        <w:rPr>
          <w:rFonts w:ascii="Times New Roman" w:hAnsi="Times New Roman" w:cs="Times New Roman"/>
          <w:sz w:val="28"/>
          <w:szCs w:val="28"/>
        </w:rPr>
        <w:t xml:space="preserve">Отчуждение </w:t>
      </w:r>
      <w:r>
        <w:rPr>
          <w:rFonts w:ascii="Times New Roman" w:hAnsi="Times New Roman" w:cs="Times New Roman"/>
          <w:sz w:val="28"/>
          <w:szCs w:val="28"/>
        </w:rPr>
        <w:t>предметов лизинга</w:t>
      </w:r>
      <w:r w:rsidRPr="00A717CF">
        <w:rPr>
          <w:rFonts w:ascii="Times New Roman" w:hAnsi="Times New Roman" w:cs="Times New Roman"/>
          <w:sz w:val="28"/>
          <w:szCs w:val="28"/>
        </w:rPr>
        <w:t>, затраты в отношении которых были возмещены за счет средств Субсидии, по договорам купли-продажи, иным возмездным и безвозмездным сделкам до момента достижения результата предоставления Субсидии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BFF" w:rsidRPr="00A717CF" w:rsidRDefault="00363BFF" w:rsidP="00363BF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3.3. </w:t>
      </w:r>
      <w:r w:rsidRPr="00A717CF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заключенного между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и получателем Субсидии</w:t>
      </w:r>
      <w:r w:rsidRPr="00A717CF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</w:p>
    <w:p w:rsidR="00363BFF" w:rsidRPr="00A717CF" w:rsidRDefault="00363BFF" w:rsidP="00363BF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5B6">
        <w:rPr>
          <w:rFonts w:ascii="Times New Roman" w:hAnsi="Times New Roman" w:cs="Times New Roman"/>
          <w:sz w:val="28"/>
          <w:szCs w:val="28"/>
        </w:rPr>
        <w:t>В течение трех рабочих дней со дня направления Уполномоченным органом на адрес электронной почты получателя Субсидии проекта Соглашения в соответствии с пунктом 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A15B6">
        <w:rPr>
          <w:rFonts w:ascii="Times New Roman" w:hAnsi="Times New Roman" w:cs="Times New Roman"/>
          <w:sz w:val="28"/>
          <w:szCs w:val="28"/>
        </w:rPr>
        <w:t xml:space="preserve"> настоящего Порядка получатель Субсидии (уполномоченное лицо) подписывает проект Соглашения и обеспечивает его представление в Уполномоченный орган.</w:t>
      </w:r>
    </w:p>
    <w:p w:rsidR="00363BFF" w:rsidRPr="009077B2" w:rsidRDefault="00363BFF" w:rsidP="00363BFF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В случае подписания Соглашения уполномоченным лицом к Соглашению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077B2">
        <w:rPr>
          <w:rFonts w:ascii="Times New Roman" w:hAnsi="Times New Roman" w:cs="Times New Roman"/>
          <w:sz w:val="28"/>
          <w:szCs w:val="28"/>
        </w:rPr>
        <w:t xml:space="preserve"> в срок, не превышающий </w:t>
      </w:r>
      <w:r>
        <w:rPr>
          <w:rFonts w:ascii="Times New Roman" w:hAnsi="Times New Roman" w:cs="Times New Roman"/>
          <w:sz w:val="28"/>
          <w:szCs w:val="28"/>
        </w:rPr>
        <w:t>трёх</w:t>
      </w:r>
      <w:r w:rsidRPr="009077B2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Соглашения, подписывает в двух экземплярах, регистрирует Соглашение и направляет второй экземпляр Соглашения получателю Субсидии.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Победитель отбора, не представивший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077B2">
        <w:rPr>
          <w:rFonts w:ascii="Times New Roman" w:hAnsi="Times New Roman" w:cs="Times New Roman"/>
          <w:sz w:val="28"/>
          <w:szCs w:val="28"/>
        </w:rPr>
        <w:t xml:space="preserve"> подписанный со своей стороны проект Соглашен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9077B2">
        <w:rPr>
          <w:rFonts w:ascii="Times New Roman" w:hAnsi="Times New Roman" w:cs="Times New Roman"/>
          <w:sz w:val="28"/>
          <w:szCs w:val="28"/>
        </w:rPr>
        <w:t xml:space="preserve"> либо представивший подписанный проект Соглашения с нарушением установленного срока, в соответствии с решением о признании победителя отбора уклонившимся от заключения Соглашения, изданным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9077B2">
        <w:rPr>
          <w:rFonts w:ascii="Times New Roman" w:hAnsi="Times New Roman" w:cs="Times New Roman"/>
          <w:sz w:val="28"/>
          <w:szCs w:val="28"/>
        </w:rPr>
        <w:t xml:space="preserve"> в форме приказа, признается уклонившимся от заключения Соглашения.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9077B2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решения о признании победителя отбора уклонившимся от заключения Соглашения направляет по адресу электронной почты победителя отбора, признанного уклон</w:t>
      </w:r>
      <w:r>
        <w:rPr>
          <w:rFonts w:ascii="Times New Roman" w:hAnsi="Times New Roman" w:cs="Times New Roman"/>
          <w:sz w:val="28"/>
          <w:szCs w:val="28"/>
        </w:rPr>
        <w:t>ившимся от заключения Соглашения</w:t>
      </w:r>
      <w:r w:rsidRPr="009077B2">
        <w:rPr>
          <w:rFonts w:ascii="Times New Roman" w:hAnsi="Times New Roman" w:cs="Times New Roman"/>
          <w:sz w:val="28"/>
          <w:szCs w:val="28"/>
        </w:rPr>
        <w:t>, уведомление об отказе в предоставлении ему Субсидии с указанием причин отказа.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077B2">
        <w:rPr>
          <w:rFonts w:ascii="Times New Roman" w:hAnsi="Times New Roman" w:cs="Times New Roman"/>
          <w:sz w:val="28"/>
          <w:szCs w:val="28"/>
        </w:rPr>
        <w:t>.4. В Соглашение по инициативе одной из сторон путем направления соответствующего уведомления могут быть внесены изменения и дополнения пу</w:t>
      </w:r>
      <w:r>
        <w:rPr>
          <w:rFonts w:ascii="Times New Roman" w:hAnsi="Times New Roman" w:cs="Times New Roman"/>
          <w:sz w:val="28"/>
          <w:szCs w:val="28"/>
        </w:rPr>
        <w:t>тем подписания дополнительного с</w:t>
      </w:r>
      <w:r w:rsidRPr="009077B2">
        <w:rPr>
          <w:rFonts w:ascii="Times New Roman" w:hAnsi="Times New Roman" w:cs="Times New Roman"/>
          <w:sz w:val="28"/>
          <w:szCs w:val="28"/>
        </w:rPr>
        <w:t>оглашения к Соглашени</w:t>
      </w:r>
      <w:r>
        <w:rPr>
          <w:rFonts w:ascii="Times New Roman" w:hAnsi="Times New Roman" w:cs="Times New Roman"/>
          <w:sz w:val="28"/>
          <w:szCs w:val="28"/>
        </w:rPr>
        <w:t>ю, в том числе дополнительного с</w:t>
      </w:r>
      <w:r w:rsidRPr="009077B2">
        <w:rPr>
          <w:rFonts w:ascii="Times New Roman" w:hAnsi="Times New Roman" w:cs="Times New Roman"/>
          <w:sz w:val="28"/>
          <w:szCs w:val="28"/>
        </w:rPr>
        <w:t>оглашения о расторжении Соглашения по основаниям, предусмотренным в Соглашении в соответствии с типовой формой, установленной Министерством финансов Республики Татарстан, в течение семи рабочих дней с момента получения указанного уведомления.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3.5.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</w:t>
      </w:r>
      <w:r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Pr="009077B2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пункте 1.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9077B2">
        <w:rPr>
          <w:rFonts w:ascii="Times New Roman" w:hAnsi="Times New Roman" w:cs="Times New Roman"/>
          <w:sz w:val="28"/>
          <w:szCs w:val="28"/>
        </w:rPr>
        <w:t>настоящего Порядка, приводящего к невозможности предоставления Субсидии в размере, определенном в Соглашении.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>3.6. Субсидия не позднее 10-го рабочего дня</w:t>
      </w:r>
      <w:r>
        <w:rPr>
          <w:rFonts w:ascii="Times New Roman" w:hAnsi="Times New Roman" w:cs="Times New Roman"/>
          <w:sz w:val="28"/>
          <w:szCs w:val="28"/>
        </w:rPr>
        <w:t>, следующего</w:t>
      </w:r>
      <w:r w:rsidRPr="009077B2">
        <w:rPr>
          <w:rFonts w:ascii="Times New Roman" w:hAnsi="Times New Roman" w:cs="Times New Roman"/>
          <w:sz w:val="28"/>
          <w:szCs w:val="28"/>
        </w:rPr>
        <w:t xml:space="preserve"> за днем принятия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9077B2">
        <w:rPr>
          <w:rFonts w:ascii="Times New Roman" w:hAnsi="Times New Roman" w:cs="Times New Roman"/>
          <w:sz w:val="28"/>
          <w:szCs w:val="28"/>
        </w:rPr>
        <w:t xml:space="preserve"> решения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077B2">
        <w:rPr>
          <w:rFonts w:ascii="Times New Roman" w:hAnsi="Times New Roman" w:cs="Times New Roman"/>
          <w:sz w:val="28"/>
          <w:szCs w:val="28"/>
        </w:rPr>
        <w:t xml:space="preserve">убсидии, подлежит перечислению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указанный в заявлении о предоставлении Субсидии. </w:t>
      </w:r>
    </w:p>
    <w:p w:rsidR="00363BFF" w:rsidRPr="009077B2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3.7. Условием предоставления Субсидий является согласие получателя Субсидии на осуществление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077B2">
        <w:rPr>
          <w:rFonts w:ascii="Times New Roman" w:hAnsi="Times New Roman" w:cs="Times New Roman"/>
          <w:sz w:val="28"/>
          <w:szCs w:val="28"/>
        </w:rPr>
        <w:t>полномоченным органом государственного финансового контроля проверок соблюдения ими условий, целей и</w:t>
      </w:r>
      <w:r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Pr="009077B2">
        <w:rPr>
          <w:rFonts w:ascii="Times New Roman" w:hAnsi="Times New Roman" w:cs="Times New Roman"/>
          <w:sz w:val="28"/>
          <w:szCs w:val="28"/>
        </w:rPr>
        <w:t>.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7B2">
        <w:rPr>
          <w:rFonts w:ascii="Times New Roman" w:hAnsi="Times New Roman" w:cs="Times New Roman"/>
          <w:sz w:val="28"/>
          <w:szCs w:val="28"/>
        </w:rPr>
        <w:t xml:space="preserve">3.8. Результатом предоставления Субсидии является обеспечение получателем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>достижения указанных в Заявке обязательных показателей результата, предусмотренных абзацами седьмым, восьмым и девятым пункта 1.4 настоящего Порядка по итогам третьего года от года предоставления Субсидии (нарастающим итогом).</w:t>
      </w:r>
    </w:p>
    <w:p w:rsidR="00363BFF" w:rsidRDefault="00363BFF" w:rsidP="00363BFF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9077B2" w:rsidRDefault="00363BFF" w:rsidP="00363BFF">
      <w:pPr>
        <w:pStyle w:val="ConsPlusTitle"/>
        <w:spacing w:line="23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77B2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>. Требование к отчетности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2502D4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D4">
        <w:rPr>
          <w:rFonts w:ascii="Times New Roman" w:hAnsi="Times New Roman" w:cs="Times New Roman"/>
          <w:sz w:val="28"/>
          <w:szCs w:val="28"/>
        </w:rPr>
        <w:t xml:space="preserve">4.1. Получатели Субсидии представляют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502D4">
        <w:rPr>
          <w:rFonts w:ascii="Times New Roman" w:hAnsi="Times New Roman" w:cs="Times New Roman"/>
          <w:sz w:val="28"/>
          <w:szCs w:val="28"/>
        </w:rPr>
        <w:t xml:space="preserve"> отчет о достижении значений результата предоставления Субсидии по форме, прилагаемой к типовой форме Соглашения, установленной Министерством финансов Республики Татарстан (далее – отчет), ежеквартально нарастающим итогом не позднее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502D4">
        <w:rPr>
          <w:rFonts w:ascii="Times New Roman" w:hAnsi="Times New Roman" w:cs="Times New Roman"/>
          <w:sz w:val="28"/>
          <w:szCs w:val="28"/>
        </w:rPr>
        <w:t xml:space="preserve">5 календарного дня, следующего за отчетным кварталом, и ежегодно нарастающим итогом не позднее </w:t>
      </w:r>
      <w:r>
        <w:rPr>
          <w:rFonts w:ascii="Times New Roman" w:hAnsi="Times New Roman" w:cs="Times New Roman"/>
          <w:sz w:val="28"/>
          <w:szCs w:val="28"/>
        </w:rPr>
        <w:t>20 января</w:t>
      </w:r>
      <w:r w:rsidRPr="002502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Pr="002502D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2502D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D4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2502D4">
        <w:rPr>
          <w:rFonts w:ascii="Times New Roman" w:hAnsi="Times New Roman" w:cs="Times New Roman"/>
          <w:sz w:val="28"/>
          <w:szCs w:val="28"/>
        </w:rPr>
        <w:t xml:space="preserve"> вправе устанавливать в Соглашении сроки и формы представления получателем Субсидии дополнительной отчетности.</w:t>
      </w:r>
    </w:p>
    <w:p w:rsidR="00363BFF" w:rsidRPr="002502D4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D4">
        <w:rPr>
          <w:rFonts w:ascii="Times New Roman" w:hAnsi="Times New Roman" w:cs="Times New Roman"/>
          <w:sz w:val="28"/>
          <w:szCs w:val="28"/>
        </w:rPr>
        <w:t>4.3. Сопроводительное письмо и отчет подписываются руководителем (уполномоченным лицом) получателя Субсидии. Подпись проставляется на каждой странице отчета и заверяется печатью получателя Субсидии (при наличии).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D4">
        <w:rPr>
          <w:rFonts w:ascii="Times New Roman" w:hAnsi="Times New Roman" w:cs="Times New Roman"/>
          <w:sz w:val="28"/>
          <w:szCs w:val="28"/>
        </w:rPr>
        <w:t>В случае подписания отчета уполномоченным лицом к отчету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9077B2" w:rsidRDefault="00363BFF" w:rsidP="00363BF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077B2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>. Требования об осуществлении контроля</w:t>
      </w:r>
    </w:p>
    <w:p w:rsidR="00363BFF" w:rsidRPr="009077B2" w:rsidRDefault="00363BFF" w:rsidP="00363B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77B2">
        <w:rPr>
          <w:rFonts w:ascii="Times New Roman" w:hAnsi="Times New Roman" w:cs="Times New Roman"/>
          <w:b w:val="0"/>
          <w:sz w:val="28"/>
          <w:szCs w:val="28"/>
        </w:rPr>
        <w:t>за соблюдением условий, целей и порядка предоставления</w:t>
      </w:r>
    </w:p>
    <w:p w:rsidR="00363BFF" w:rsidRPr="009077B2" w:rsidRDefault="00363BFF" w:rsidP="00363BF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Субсидии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 xml:space="preserve"> и ответственности за их нарушение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791DCD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>5.1. Уполномоченный орган и уполномоченный орган государственного финансового контроля осуществляют проверки соблюдения получателями Субсидий условий, целей и порядка предоставления Субсидии.</w:t>
      </w:r>
    </w:p>
    <w:p w:rsidR="00363BFF" w:rsidRPr="00791DCD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 xml:space="preserve">5.2. Субсидия подлежит возврату получателем Субсидии в бюджет Республики Татарстан в полном объеме в 15-дневный срок, исчисляемый в рабочих днях, со дня получения соответствующего требования в случаях нарушения получателем Субсидии условий, установленных при предоставлении Субсидии, выявленного в том числе по фактам проверок, проведенных Уполномоченным органом и уполномоченным органом государственного финансового контроля, а также в случае недостижения обязательных значений результата предоставления Субсидии. </w:t>
      </w:r>
    </w:p>
    <w:p w:rsidR="00363BFF" w:rsidRPr="00791DCD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>В случае недостижения значений обязательных показателей результата предоставления Субсидии, указанных в Заявке, суммарно по совокупности показателей на 20 процентов и более, начиная с итогов третьего года от года предоставления Субсидии, Субсидия подлежит возврату в бюджет Республики Татарстан в полном объёме.</w:t>
      </w:r>
    </w:p>
    <w:p w:rsidR="00363BFF" w:rsidRPr="00791DCD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 xml:space="preserve">В случае недостижения значений </w:t>
      </w:r>
      <w:r>
        <w:rPr>
          <w:rFonts w:ascii="Times New Roman" w:hAnsi="Times New Roman" w:cs="Times New Roman"/>
          <w:sz w:val="28"/>
          <w:szCs w:val="28"/>
        </w:rPr>
        <w:t>обязательных показателей 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Субсидии, указанных в Заявке, суммарно по совокупности показателей менее, чем на 20 процентов, размер средств, подлежащих возврату в бюджет Республики Татарстан, определяется по формуле: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FF" w:rsidRPr="00791DCD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8F9">
        <w:rPr>
          <w:rFonts w:ascii="Times New Roman" w:hAnsi="Times New Roman" w:cs="Times New Roman"/>
          <w:sz w:val="28"/>
          <w:szCs w:val="28"/>
        </w:rPr>
        <w:t>V</w:t>
      </w:r>
      <w:r w:rsidRPr="007B78F9">
        <w:rPr>
          <w:rFonts w:ascii="Times New Roman" w:hAnsi="Times New Roman" w:cs="Times New Roman"/>
          <w:sz w:val="28"/>
          <w:szCs w:val="28"/>
          <w:vertAlign w:val="subscript"/>
        </w:rPr>
        <w:t>возвр</w:t>
      </w:r>
      <w:r w:rsidRPr="007B78F9">
        <w:rPr>
          <w:rFonts w:ascii="Times New Roman" w:hAnsi="Times New Roman" w:cs="Times New Roman"/>
          <w:sz w:val="28"/>
          <w:szCs w:val="28"/>
        </w:rPr>
        <w:t xml:space="preserve"> = V</w:t>
      </w:r>
      <w:r w:rsidRPr="007B78F9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7B78F9">
        <w:rPr>
          <w:rFonts w:ascii="Times New Roman" w:hAnsi="Times New Roman" w:cs="Times New Roman"/>
          <w:sz w:val="28"/>
          <w:szCs w:val="28"/>
        </w:rPr>
        <w:t xml:space="preserve"> x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∑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Di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>,</w:t>
      </w:r>
    </w:p>
    <w:p w:rsidR="00363BFF" w:rsidRPr="007B78F9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63BFF" w:rsidRDefault="00363BFF" w:rsidP="00363BFF">
      <w:pPr>
        <w:ind w:firstLine="709"/>
        <w:rPr>
          <w:rFonts w:ascii="Times New Roman" w:hAnsi="Times New Roman" w:cs="Times New Roman"/>
        </w:rPr>
      </w:pPr>
      <w:r w:rsidRPr="007B78F9">
        <w:rPr>
          <w:rFonts w:ascii="Times New Roman" w:hAnsi="Times New Roman" w:cs="Times New Roman"/>
        </w:rPr>
        <w:lastRenderedPageBreak/>
        <w:t>где:</w:t>
      </w:r>
    </w:p>
    <w:p w:rsidR="00363BFF" w:rsidRPr="007B78F9" w:rsidRDefault="00363BFF" w:rsidP="00363BFF">
      <w:pPr>
        <w:ind w:firstLine="709"/>
        <w:rPr>
          <w:rFonts w:ascii="Times New Roman" w:hAnsi="Times New Roman" w:cs="Times New Roman"/>
        </w:rPr>
      </w:pPr>
    </w:p>
    <w:p w:rsidR="00363BFF" w:rsidRPr="007B78F9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B78F9">
        <w:rPr>
          <w:rFonts w:ascii="Times New Roman" w:hAnsi="Times New Roman" w:cs="Times New Roman"/>
          <w:sz w:val="28"/>
          <w:szCs w:val="28"/>
        </w:rPr>
        <w:t>V</w:t>
      </w:r>
      <w:r w:rsidRPr="007B78F9">
        <w:rPr>
          <w:rFonts w:ascii="Times New Roman" w:hAnsi="Times New Roman" w:cs="Times New Roman"/>
          <w:sz w:val="28"/>
          <w:szCs w:val="28"/>
          <w:vertAlign w:val="subscript"/>
        </w:rPr>
        <w:t>субс</w:t>
      </w:r>
      <w:r w:rsidRPr="007B78F9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получателю Субсидии в отчётном финансовом году;</w:t>
      </w:r>
    </w:p>
    <w:p w:rsidR="00363BFF" w:rsidRPr="00791DCD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>D</w:t>
      </w:r>
      <w:r w:rsidRPr="00791DC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791DCD">
        <w:rPr>
          <w:rFonts w:ascii="Times New Roman" w:hAnsi="Times New Roman" w:cs="Times New Roman"/>
          <w:sz w:val="28"/>
          <w:szCs w:val="28"/>
        </w:rPr>
        <w:t xml:space="preserve"> - индекс, отражающий уровень недостижения i-го </w:t>
      </w:r>
      <w:r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791DCD">
        <w:rPr>
          <w:rFonts w:ascii="Times New Roman" w:hAnsi="Times New Roman" w:cs="Times New Roman"/>
          <w:sz w:val="28"/>
          <w:szCs w:val="28"/>
        </w:rPr>
        <w:t xml:space="preserve">показателя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 (при расчете используются только D</w:t>
      </w:r>
      <w:r w:rsidRPr="00791DCD">
        <w:rPr>
          <w:rFonts w:ascii="Times New Roman" w:hAnsi="Times New Roman" w:cs="Times New Roman"/>
          <w:sz w:val="28"/>
          <w:szCs w:val="28"/>
          <w:vertAlign w:val="subscript"/>
        </w:rPr>
        <w:t xml:space="preserve">i </w:t>
      </w:r>
      <w:r w:rsidRPr="00791DCD">
        <w:rPr>
          <w:rFonts w:ascii="Times New Roman" w:hAnsi="Times New Roman" w:cs="Times New Roman"/>
          <w:sz w:val="28"/>
          <w:szCs w:val="28"/>
        </w:rPr>
        <w:t>&gt;0);</w:t>
      </w:r>
    </w:p>
    <w:p w:rsidR="00363BFF" w:rsidRPr="00791DCD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 xml:space="preserve">n - общее количество обязательных показателей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363BFF" w:rsidRPr="00791DCD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1DCD">
        <w:rPr>
          <w:rFonts w:ascii="Times New Roman" w:hAnsi="Times New Roman" w:cs="Times New Roman"/>
          <w:sz w:val="28"/>
          <w:szCs w:val="28"/>
        </w:rPr>
        <w:t xml:space="preserve">Индекс, отражающий уровень недостижения i-го обязательного показателя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Субсидии, определяется</w:t>
      </w:r>
      <w:r w:rsidRPr="00D11C2F">
        <w:rPr>
          <w:rFonts w:ascii="Times New Roman" w:hAnsi="Times New Roman" w:cs="Times New Roman"/>
          <w:sz w:val="28"/>
          <w:szCs w:val="28"/>
        </w:rPr>
        <w:t xml:space="preserve"> </w:t>
      </w:r>
      <w:r w:rsidRPr="00791DCD">
        <w:rPr>
          <w:rFonts w:ascii="Times New Roman" w:hAnsi="Times New Roman" w:cs="Times New Roman"/>
          <w:sz w:val="28"/>
          <w:szCs w:val="28"/>
        </w:rPr>
        <w:t>по формуле:</w:t>
      </w:r>
    </w:p>
    <w:p w:rsidR="00363BFF" w:rsidRPr="00791DCD" w:rsidRDefault="00363BFF" w:rsidP="00363BFF">
      <w:pPr>
        <w:rPr>
          <w:rFonts w:ascii="Times New Roman" w:hAnsi="Times New Roman" w:cs="Times New Roman"/>
          <w:sz w:val="28"/>
          <w:szCs w:val="28"/>
        </w:rPr>
      </w:pPr>
    </w:p>
    <w:p w:rsidR="00363BFF" w:rsidRPr="007B78F9" w:rsidRDefault="00363BFF" w:rsidP="00363BFF">
      <w:pPr>
        <w:jc w:val="center"/>
        <w:rPr>
          <w:rFonts w:ascii="Times New Roman" w:hAnsi="Times New Roman" w:cs="Times New Roman"/>
        </w:rPr>
      </w:pPr>
      <w:r w:rsidRPr="007B78F9">
        <w:rPr>
          <w:rFonts w:ascii="Times New Roman" w:hAnsi="Times New Roman" w:cs="Times New Roman"/>
          <w:position w:val="-34"/>
        </w:rPr>
        <w:object w:dxaOrig="1400" w:dyaOrig="780">
          <v:shape id="_x0000_i1026" type="#_x0000_t75" style="width:69.75pt;height:39pt" o:ole="">
            <v:imagedata r:id="rId17" o:title=""/>
          </v:shape>
          <o:OLEObject Type="Embed" ProgID="Equation.3" ShapeID="_x0000_i1026" DrawAspect="Content" ObjectID="_1709645594" r:id="rId18"/>
        </w:object>
      </w:r>
      <w:r w:rsidRPr="007B78F9">
        <w:rPr>
          <w:rFonts w:ascii="Times New Roman" w:hAnsi="Times New Roman" w:cs="Times New Roman"/>
        </w:rPr>
        <w:t>,</w:t>
      </w:r>
    </w:p>
    <w:p w:rsidR="00363BFF" w:rsidRPr="00D11C2F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11C2F">
        <w:rPr>
          <w:rFonts w:ascii="Times New Roman" w:hAnsi="Times New Roman" w:cs="Times New Roman"/>
          <w:sz w:val="28"/>
          <w:szCs w:val="28"/>
        </w:rPr>
        <w:t>где:</w:t>
      </w:r>
    </w:p>
    <w:p w:rsidR="00363BFF" w:rsidRPr="00D11C2F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11C2F">
        <w:rPr>
          <w:rFonts w:ascii="Times New Roman" w:hAnsi="Times New Roman" w:cs="Times New Roman"/>
          <w:sz w:val="28"/>
          <w:szCs w:val="28"/>
        </w:rPr>
        <w:t>S</w:t>
      </w:r>
      <w:r w:rsidRPr="00D11C2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11C2F">
        <w:rPr>
          <w:rFonts w:ascii="Times New Roman" w:hAnsi="Times New Roman" w:cs="Times New Roman"/>
          <w:sz w:val="28"/>
          <w:szCs w:val="28"/>
        </w:rPr>
        <w:t xml:space="preserve"> - плановое значение i-го обязательного показателя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D11C2F">
        <w:rPr>
          <w:rFonts w:ascii="Times New Roman" w:hAnsi="Times New Roman" w:cs="Times New Roman"/>
          <w:sz w:val="28"/>
          <w:szCs w:val="28"/>
        </w:rPr>
        <w:t>, установленное соглашением;</w:t>
      </w:r>
    </w:p>
    <w:p w:rsidR="00363BFF" w:rsidRPr="00D11C2F" w:rsidRDefault="00363BFF" w:rsidP="00363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11C2F">
        <w:rPr>
          <w:rFonts w:ascii="Times New Roman" w:hAnsi="Times New Roman" w:cs="Times New Roman"/>
          <w:sz w:val="28"/>
          <w:szCs w:val="28"/>
        </w:rPr>
        <w:t>T</w:t>
      </w:r>
      <w:r w:rsidRPr="00D11C2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D11C2F"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обязательного показателя </w:t>
      </w:r>
      <w:r>
        <w:rPr>
          <w:rFonts w:ascii="Times New Roman" w:hAnsi="Times New Roman" w:cs="Times New Roman"/>
          <w:sz w:val="28"/>
          <w:szCs w:val="28"/>
        </w:rPr>
        <w:t>результата</w:t>
      </w:r>
      <w:r w:rsidRPr="00791DCD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D11C2F">
        <w:rPr>
          <w:rFonts w:ascii="Times New Roman" w:hAnsi="Times New Roman" w:cs="Times New Roman"/>
          <w:sz w:val="28"/>
          <w:szCs w:val="28"/>
        </w:rPr>
        <w:t xml:space="preserve"> на отчетную дату.</w:t>
      </w:r>
    </w:p>
    <w:p w:rsidR="00363BFF" w:rsidRPr="00AC3BB8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8">
        <w:rPr>
          <w:rFonts w:ascii="Times New Roman" w:hAnsi="Times New Roman" w:cs="Times New Roman"/>
          <w:sz w:val="28"/>
          <w:szCs w:val="28"/>
        </w:rPr>
        <w:t>5.3. При нарушении получателем Субсидии срока возврата Субсидии, указанного в пункте 5.2 настоящего Порядка, Уполномоченный орган в семидневный срок, исчисляемый в рабочих днях со дня истечения указанного срока, принимает меры по взысканию указанных средств в бюджет Республики Татарстан в порядке, установленном законодательством Российской Федерации.</w:t>
      </w:r>
    </w:p>
    <w:p w:rsidR="00363BFF" w:rsidRPr="00AC3BB8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8">
        <w:rPr>
          <w:rFonts w:ascii="Times New Roman" w:hAnsi="Times New Roman" w:cs="Times New Roman"/>
          <w:sz w:val="28"/>
          <w:szCs w:val="28"/>
        </w:rPr>
        <w:t>5.4. Ответственность за соблюдением целей и условий, установленных при предоставлении Субсидии, за достоверность представляемых документов и сведений несет получатель Субсидии.</w:t>
      </w:r>
    </w:p>
    <w:p w:rsidR="00363BFF" w:rsidRDefault="00363BFF" w:rsidP="00363B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BB8">
        <w:rPr>
          <w:rFonts w:ascii="Times New Roman" w:hAnsi="Times New Roman" w:cs="Times New Roman"/>
          <w:sz w:val="28"/>
          <w:szCs w:val="28"/>
        </w:rPr>
        <w:t xml:space="preserve">5.5. Уполномоченный орган </w:t>
      </w:r>
      <w:r w:rsidRPr="00AC3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орган государственного финансового </w:t>
      </w:r>
      <w:r w:rsidRPr="00AC3BB8">
        <w:rPr>
          <w:rStyle w:val="dash041e0431044b0447043d044b0439char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363BFF" w:rsidRPr="009077B2" w:rsidRDefault="00363BFF" w:rsidP="00363BFF">
      <w:pPr>
        <w:pStyle w:val="ConsPlusNormal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5D3DAB">
        <w:rPr>
          <w:rFonts w:ascii="Times New Roman" w:hAnsi="Times New Roman" w:cs="Times New Roman"/>
          <w:sz w:val="28"/>
          <w:szCs w:val="28"/>
        </w:rPr>
        <w:t>. Основанием для освобождения получателя от применения мер ответственности,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пунктом 5.2 </w:t>
      </w:r>
      <w:r w:rsidRPr="005D3DAB">
        <w:rPr>
          <w:rFonts w:ascii="Times New Roman" w:hAnsi="Times New Roman" w:cs="Times New Roman"/>
          <w:sz w:val="28"/>
          <w:szCs w:val="28"/>
        </w:rPr>
        <w:t>настоящего Порядка, является документально подтвержденное наступление следующих обстоятельств непреодолимой силы, препятствующих исполнению соответствующих обязательств: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регионального (межмуниципального) и (или) местного уровня реагирования на чрезвычайную ситуацию, подтвержденное правовым актом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  <w:r w:rsidRPr="005D3DAB">
        <w:rPr>
          <w:rFonts w:ascii="Times New Roman" w:hAnsi="Times New Roman" w:cs="Times New Roman"/>
          <w:sz w:val="28"/>
          <w:szCs w:val="28"/>
        </w:rPr>
        <w:t xml:space="preserve"> Республики Татарстан и (или) органа местного самоуправления муниципального образования Республики Татарстан;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факт установления карантина и (или) иных ограничений, направленных на предотвращение распространения и ликвидацию очагов заразных и иных болезней людей или животных, подтвержденный правовым актом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  <w:r w:rsidRPr="005D3DAB">
        <w:rPr>
          <w:rFonts w:ascii="Times New Roman" w:hAnsi="Times New Roman" w:cs="Times New Roman"/>
          <w:sz w:val="28"/>
          <w:szCs w:val="28"/>
        </w:rPr>
        <w:t>Республики Татарстан;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>аномальные погодные условия, подтвержденные справкой территориального органа Федеральной службы по гидрометеорологии и мониторингу окружающей среды;</w:t>
      </w:r>
    </w:p>
    <w:p w:rsidR="00363BFF" w:rsidRPr="005D3DAB" w:rsidRDefault="00363BFF" w:rsidP="00363BF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DAB">
        <w:rPr>
          <w:rFonts w:ascii="Times New Roman" w:hAnsi="Times New Roman" w:cs="Times New Roman"/>
          <w:sz w:val="28"/>
          <w:szCs w:val="28"/>
        </w:rPr>
        <w:t xml:space="preserve">наличие вступившего в законную силу в году предоставления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3DAB">
        <w:rPr>
          <w:rFonts w:ascii="Times New Roman" w:hAnsi="Times New Roman" w:cs="Times New Roman"/>
          <w:sz w:val="28"/>
          <w:szCs w:val="28"/>
        </w:rPr>
        <w:t>убсидии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 по достижению результатов предоставления субсидий и значений показателей, необходимых для достижения результатов предоставления субсидий.</w:t>
      </w: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054B11" w:rsidRDefault="00363BFF" w:rsidP="00363BFF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363BFF" w:rsidRDefault="00363BFF" w:rsidP="00363BFF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63BFF" w:rsidRDefault="00363BFF" w:rsidP="00363BFF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054B11" w:rsidRDefault="00363BFF" w:rsidP="00363BFF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363BFF" w:rsidRPr="00054B11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субсидии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Pr="007A7D2E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7D2E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63BFF" w:rsidRPr="007A7D2E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7D2E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7A7D2E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</w:p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организациями, утверждённом постановлением Кабинета Министров Республики Татарстан от _________ №_______ «</w:t>
      </w:r>
      <w:r w:rsidRPr="004F57B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порядка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 направляем заявку на получение субсидии из бюджета Республики Татарстан на уплату первого взноса (аванса) при заключении договора (договоров) лизинга оборудования с российскими лизинговыми организациями (далее – субсидия) в сумме </w:t>
      </w:r>
    </w:p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рублей.</w:t>
      </w:r>
    </w:p>
    <w:p w:rsidR="00363BFF" w:rsidRDefault="00363BFF" w:rsidP="00363BF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(цифрами и прописью)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участнике отбора: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02"/>
        <w:gridCol w:w="4249"/>
      </w:tblGrid>
      <w:tr w:rsidR="00363BFF" w:rsidRPr="008540B9" w:rsidTr="00A26993">
        <w:tc>
          <w:tcPr>
            <w:tcW w:w="567" w:type="dxa"/>
            <w:vAlign w:val="center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102" w:type="dxa"/>
          </w:tcPr>
          <w:p w:rsidR="00363BFF" w:rsidRPr="008540B9" w:rsidRDefault="00363BFF" w:rsidP="00A26993">
            <w:pPr>
              <w:pStyle w:val="ConsPlusNormal"/>
              <w:ind w:left="420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заявителя</w:t>
            </w:r>
          </w:p>
        </w:tc>
      </w:tr>
      <w:tr w:rsidR="00363BFF" w:rsidRPr="008540B9" w:rsidTr="00A26993">
        <w:tc>
          <w:tcPr>
            <w:tcW w:w="567" w:type="dxa"/>
            <w:vAlign w:val="bottom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vAlign w:val="center"/>
          </w:tcPr>
          <w:p w:rsidR="00363BFF" w:rsidRPr="008540B9" w:rsidRDefault="00363BFF" w:rsidP="00A26993">
            <w:pPr>
              <w:pStyle w:val="ConsPlusNormal"/>
              <w:ind w:left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63BFF" w:rsidRPr="008540B9" w:rsidTr="00A26993">
        <w:tc>
          <w:tcPr>
            <w:tcW w:w="567" w:type="dxa"/>
            <w:vAlign w:val="bottom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2" w:type="dxa"/>
            <w:vAlign w:val="center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Сокращённое наименование юридического лица, фамилия, имя, отчество (последнее – при наличии) индивидуального предпринимателя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  <w:vAlign w:val="center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2" w:type="dxa"/>
            <w:vAlign w:val="center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  <w:vAlign w:val="bottom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Код причины постановки на учет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Общероссийский классификатор территорий муниципальных образований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 / место жительства индивидуального предпринимателя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Фактический адрес юридического лица / место жительства индивидуального предпринимателя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юридического лица / индивидуального предпринимателя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банковский идентификационный код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02" w:type="dxa"/>
            <w:vAlign w:val="bottom"/>
          </w:tcPr>
          <w:p w:rsidR="00363BFF" w:rsidRPr="001945F6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Основной вид экономической деятельности согласно ОК 029-2014 (КДЕС Ред. 2)</w:t>
            </w:r>
          </w:p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5F6">
              <w:rPr>
                <w:rFonts w:ascii="Times New Roman" w:hAnsi="Times New Roman" w:cs="Times New Roman"/>
                <w:sz w:val="28"/>
                <w:szCs w:val="28"/>
              </w:rPr>
              <w:t>и ОК 034-2014 (КПЕС 2008):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участника отбора (фамилия, имя, отчество (последнее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 xml:space="preserve">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наличии), должность, контактные реквизиты)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Главный бухгалтер (фамилия, имя, отчество (последнее - при наличии), контактные реквизиты)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40B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(фамилия, имя, отчество (последнее - при наличии), должность, контактные реквизиты)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  <w:vAlign w:val="bottom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8540B9" w:rsidTr="00A26993">
        <w:tc>
          <w:tcPr>
            <w:tcW w:w="567" w:type="dxa"/>
            <w:vAlign w:val="bottom"/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02" w:type="dxa"/>
            <w:vAlign w:val="bottom"/>
          </w:tcPr>
          <w:p w:rsidR="00363BFF" w:rsidRPr="008540B9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49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586">
        <w:rPr>
          <w:rFonts w:ascii="Times New Roman" w:hAnsi="Times New Roman" w:cs="Times New Roman"/>
          <w:sz w:val="28"/>
          <w:szCs w:val="28"/>
        </w:rPr>
        <w:t>Подтверждаем,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Pr="005D2F75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F75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363BFF" w:rsidRPr="005D2F75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D2F75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5D2F75">
        <w:rPr>
          <w:rFonts w:ascii="Times New Roman" w:hAnsi="Times New Roman" w:cs="Times New Roman"/>
          <w:sz w:val="24"/>
          <w:szCs w:val="24"/>
        </w:rPr>
        <w:br/>
        <w:t>индивидуального предпринимателя)</w:t>
      </w:r>
    </w:p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зарегистрированное на территории Российской Федерации и заключившее </w:t>
      </w:r>
      <w:r w:rsidRPr="0029658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63BFF" w:rsidRPr="005D2F75" w:rsidRDefault="00363BFF" w:rsidP="00363BF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D2F75">
        <w:rPr>
          <w:rFonts w:ascii="Times New Roman" w:hAnsi="Times New Roman" w:cs="Times New Roman"/>
          <w:sz w:val="24"/>
          <w:szCs w:val="24"/>
        </w:rPr>
        <w:t>(наименование российской лизинговой организации)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296586">
        <w:rPr>
          <w:rFonts w:ascii="Times New Roman" w:hAnsi="Times New Roman" w:cs="Times New Roman"/>
          <w:sz w:val="28"/>
          <w:szCs w:val="28"/>
        </w:rPr>
        <w:t>договор (договоры)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лизинга оборудования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5D2F75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(номер, дата договора лизинга, наименование оборудования)</w:t>
      </w:r>
    </w:p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осуществляет деятельность, относящуюся в соответствии с Общероссийским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классификатором продукции по видам экономической деятельности, утвержденным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приказом Федерального агентства по техническому регулированию и метрологии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6586">
        <w:rPr>
          <w:rFonts w:ascii="Times New Roman" w:hAnsi="Times New Roman" w:cs="Times New Roman"/>
          <w:sz w:val="28"/>
          <w:szCs w:val="28"/>
        </w:rPr>
        <w:t xml:space="preserve">1 января 2014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96586">
        <w:rPr>
          <w:rFonts w:ascii="Times New Roman" w:hAnsi="Times New Roman" w:cs="Times New Roman"/>
          <w:sz w:val="28"/>
          <w:szCs w:val="28"/>
        </w:rPr>
        <w:t xml:space="preserve">14-ст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6586">
        <w:rPr>
          <w:rFonts w:ascii="Times New Roman" w:hAnsi="Times New Roman" w:cs="Times New Roman"/>
          <w:sz w:val="28"/>
          <w:szCs w:val="28"/>
        </w:rPr>
        <w:t>О принятии и введении в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Общероссийского классификатора видов экономической деятельности (ОКВЭД2) 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029-2014  (КДЕС Ред. 2) и Общероссийского классификатора продукции по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экономической деятельности (ОКПД2) ОК 034-2014 (КПЕС 2008)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6586">
        <w:rPr>
          <w:rFonts w:ascii="Times New Roman" w:hAnsi="Times New Roman" w:cs="Times New Roman"/>
          <w:sz w:val="28"/>
          <w:szCs w:val="28"/>
        </w:rPr>
        <w:t>, к классам 26,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6586">
        <w:rPr>
          <w:rFonts w:ascii="Times New Roman" w:hAnsi="Times New Roman" w:cs="Times New Roman"/>
          <w:sz w:val="28"/>
          <w:szCs w:val="28"/>
        </w:rPr>
        <w:t>27 и 28 (за исключением подкласса 28.3)</w:t>
      </w:r>
      <w:r>
        <w:rPr>
          <w:rFonts w:ascii="Times New Roman" w:hAnsi="Times New Roman" w:cs="Times New Roman"/>
          <w:sz w:val="28"/>
          <w:szCs w:val="28"/>
        </w:rPr>
        <w:t xml:space="preserve"> и обязуется обеспечить достижение следующих значений обязательных показателей результата предоставления субсидии: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2" w:type="dxa"/>
        <w:tblLook w:val="04A0" w:firstRow="1" w:lastRow="0" w:firstColumn="1" w:lastColumn="0" w:noHBand="0" w:noVBand="1"/>
      </w:tblPr>
      <w:tblGrid>
        <w:gridCol w:w="988"/>
        <w:gridCol w:w="4536"/>
        <w:gridCol w:w="1559"/>
        <w:gridCol w:w="1560"/>
        <w:gridCol w:w="1559"/>
      </w:tblGrid>
      <w:tr w:rsidR="00363BFF" w:rsidTr="00A26993">
        <w:tc>
          <w:tcPr>
            <w:tcW w:w="988" w:type="dxa"/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</w:tcPr>
          <w:p w:rsidR="00363BFF" w:rsidRPr="006D1B25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560" w:type="dxa"/>
          </w:tcPr>
          <w:p w:rsidR="00363BFF" w:rsidRPr="006D1B25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n+1</w:t>
            </w:r>
          </w:p>
        </w:tc>
        <w:tc>
          <w:tcPr>
            <w:tcW w:w="1559" w:type="dxa"/>
          </w:tcPr>
          <w:p w:rsidR="00363BFF" w:rsidRPr="006D1B25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n+2</w:t>
            </w:r>
          </w:p>
        </w:tc>
      </w:tr>
      <w:tr w:rsidR="00363BFF" w:rsidTr="00A26993">
        <w:tc>
          <w:tcPr>
            <w:tcW w:w="988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>оличество созданных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бочих мест (накопленным итогом), человек</w:t>
            </w: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Tr="00A26993">
        <w:tc>
          <w:tcPr>
            <w:tcW w:w="988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 xml:space="preserve">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торговли Российской Федерации, рублей</w:t>
            </w: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Tr="00A26993">
        <w:tc>
          <w:tcPr>
            <w:tcW w:w="988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t>бъем отгруженных товаров собственного производства, выполненных работ и услуг собственными си</w:t>
            </w:r>
            <w:r w:rsidRPr="008C36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лами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торговли Российской Федерации, рублей</w:t>
            </w: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BE36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год предоставления субсидии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участия в отборе ознакомлен и согласен.</w:t>
      </w:r>
    </w:p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Даю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6D1B25">
        <w:rPr>
          <w:rFonts w:ascii="Times New Roman" w:hAnsi="Times New Roman" w:cs="Times New Roman"/>
          <w:sz w:val="28"/>
          <w:szCs w:val="28"/>
        </w:rPr>
        <w:t xml:space="preserve">на возврат </w:t>
      </w:r>
      <w:r>
        <w:rPr>
          <w:rFonts w:ascii="Times New Roman" w:hAnsi="Times New Roman" w:cs="Times New Roman"/>
          <w:sz w:val="28"/>
          <w:szCs w:val="28"/>
        </w:rPr>
        <w:t xml:space="preserve">в бюджет Республики Татарстан </w:t>
      </w:r>
      <w:r w:rsidRPr="006D1B25">
        <w:rPr>
          <w:rFonts w:ascii="Times New Roman" w:hAnsi="Times New Roman" w:cs="Times New Roman"/>
          <w:sz w:val="28"/>
          <w:szCs w:val="28"/>
        </w:rPr>
        <w:t>в добровольном порядке суммы полученной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 xml:space="preserve">субсидии </w:t>
      </w:r>
      <w:r>
        <w:rPr>
          <w:rFonts w:ascii="Times New Roman" w:hAnsi="Times New Roman" w:cs="Times New Roman"/>
          <w:sz w:val="28"/>
          <w:szCs w:val="28"/>
        </w:rPr>
        <w:t>в случае недостижения значений обязательных показателей результата предоставления субсидии.</w:t>
      </w:r>
    </w:p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Даю согласие на представление сведений, составляющих налоговую тайну,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>соответствии с подпунктом 1 пункта 1 статьи 102 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промышленности и торговли Республики Татарстан </w:t>
      </w:r>
      <w:r w:rsidRPr="006D1B25">
        <w:rPr>
          <w:rFonts w:ascii="Times New Roman" w:hAnsi="Times New Roman" w:cs="Times New Roman"/>
          <w:sz w:val="28"/>
          <w:szCs w:val="28"/>
        </w:rPr>
        <w:t>и органами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1B25">
        <w:rPr>
          <w:rFonts w:ascii="Times New Roman" w:hAnsi="Times New Roman" w:cs="Times New Roman"/>
          <w:sz w:val="28"/>
          <w:szCs w:val="28"/>
        </w:rPr>
        <w:t>проверок соблюдения мной условий, цели и порядка предоставления субсидий.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публикацию</w:t>
      </w:r>
      <w:r w:rsidRPr="006D1B2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>
        <w:rPr>
          <w:rFonts w:ascii="Times New Roman" w:hAnsi="Times New Roman" w:cs="Times New Roman"/>
          <w:sz w:val="28"/>
          <w:szCs w:val="28"/>
        </w:rPr>
        <w:t xml:space="preserve"> «И</w:t>
      </w:r>
      <w:r w:rsidRPr="006D1B25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1B25">
        <w:rPr>
          <w:rFonts w:ascii="Times New Roman" w:hAnsi="Times New Roman" w:cs="Times New Roman"/>
          <w:sz w:val="28"/>
          <w:szCs w:val="28"/>
        </w:rPr>
        <w:t xml:space="preserve"> информации, содержащейся в заявке </w:t>
      </w:r>
      <w:r>
        <w:rPr>
          <w:rFonts w:ascii="Times New Roman" w:hAnsi="Times New Roman" w:cs="Times New Roman"/>
          <w:sz w:val="28"/>
          <w:szCs w:val="28"/>
        </w:rPr>
        <w:t>на предоставление субсидии.</w:t>
      </w:r>
    </w:p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проверку</w:t>
      </w:r>
      <w:r w:rsidRPr="006D1B25">
        <w:rPr>
          <w:rFonts w:ascii="Times New Roman" w:hAnsi="Times New Roman" w:cs="Times New Roman"/>
          <w:sz w:val="28"/>
          <w:szCs w:val="28"/>
        </w:rPr>
        <w:t xml:space="preserve"> представленных данных.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3402"/>
      </w:tblGrid>
      <w:tr w:rsidR="00363BFF" w:rsidTr="00A26993">
        <w:tc>
          <w:tcPr>
            <w:tcW w:w="4815" w:type="dxa"/>
          </w:tcPr>
          <w:p w:rsidR="00363BFF" w:rsidRPr="006D1B25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Tr="00A26993">
        <w:tc>
          <w:tcPr>
            <w:tcW w:w="4815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63BFF" w:rsidRDefault="00363BFF" w:rsidP="00A26993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</w:tr>
    </w:tbl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6D1B25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___ _____________ 20 __ г.</w:t>
      </w: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BFF" w:rsidRPr="00937B99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B99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left="7938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363BFF" w:rsidSect="00DC0538">
          <w:pgSz w:w="11905" w:h="16838"/>
          <w:pgMar w:top="851" w:right="567" w:bottom="851" w:left="1134" w:header="113" w:footer="0" w:gutter="0"/>
          <w:cols w:space="720"/>
          <w:titlePg/>
          <w:docGrid w:linePitch="299"/>
        </w:sectPr>
      </w:pPr>
    </w:p>
    <w:p w:rsidR="00363BFF" w:rsidRPr="00054B11" w:rsidRDefault="00363BFF" w:rsidP="00363BFF">
      <w:pPr>
        <w:pStyle w:val="ConsPlusNormal"/>
        <w:ind w:left="793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54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63BFF" w:rsidRDefault="00363BFF" w:rsidP="00363BFF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63BFF" w:rsidRDefault="00363BFF" w:rsidP="00363BFF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054B11" w:rsidRDefault="00363BFF" w:rsidP="00363BFF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054B11">
        <w:rPr>
          <w:rFonts w:ascii="Times New Roman" w:hAnsi="Times New Roman" w:cs="Times New Roman"/>
          <w:sz w:val="28"/>
          <w:szCs w:val="28"/>
        </w:rPr>
        <w:t>Форма</w:t>
      </w:r>
    </w:p>
    <w:p w:rsidR="00363BFF" w:rsidRPr="00054B11" w:rsidRDefault="00363BFF" w:rsidP="00363BFF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Справка-расчёт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</w:p>
    <w:p w:rsidR="00363BFF" w:rsidRDefault="00363BFF" w:rsidP="00363BFF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363BFF" w:rsidRPr="00BA3B2F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3B2F">
        <w:rPr>
          <w:rFonts w:ascii="Times New Roman" w:hAnsi="Times New Roman" w:cs="Times New Roman"/>
          <w:sz w:val="24"/>
          <w:szCs w:val="24"/>
        </w:rPr>
        <w:t>(полное наименование юридического лица,</w:t>
      </w:r>
    </w:p>
    <w:p w:rsidR="00363BFF" w:rsidRDefault="00363BFF" w:rsidP="00363B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63BFF" w:rsidRPr="00BA3B2F" w:rsidRDefault="00363BFF" w:rsidP="00363B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3B2F">
        <w:rPr>
          <w:rFonts w:ascii="Times New Roman" w:hAnsi="Times New Roman" w:cs="Times New Roman"/>
          <w:sz w:val="24"/>
          <w:szCs w:val="24"/>
        </w:rPr>
        <w:t xml:space="preserve">фамилия, имя, отчество (последнее – при наличии) </w:t>
      </w:r>
      <w:r w:rsidRPr="00BA3B2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</w:t>
      </w:r>
      <w:r w:rsidRPr="00BA3B2F">
        <w:rPr>
          <w:rFonts w:ascii="Times New Roman" w:hAnsi="Times New Roman" w:cs="Times New Roman"/>
          <w:sz w:val="24"/>
          <w:szCs w:val="24"/>
        </w:rPr>
        <w:t>ндивидуального предпринимателя)</w:t>
      </w:r>
    </w:p>
    <w:tbl>
      <w:tblPr>
        <w:tblW w:w="151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144"/>
        <w:gridCol w:w="8361"/>
      </w:tblGrid>
      <w:tr w:rsidR="00363BFF" w:rsidRPr="008540B9" w:rsidTr="00A26993"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363BFF" w:rsidRPr="008540B9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44" w:type="dxa"/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1" w:type="dxa"/>
            <w:tcBorders>
              <w:bottom w:val="single" w:sz="4" w:space="0" w:color="auto"/>
            </w:tcBorders>
          </w:tcPr>
          <w:p w:rsidR="00363BFF" w:rsidRPr="008540B9" w:rsidRDefault="00363BFF" w:rsidP="00A269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RPr="00BA3B2F" w:rsidTr="00A26993">
        <w:tc>
          <w:tcPr>
            <w:tcW w:w="6663" w:type="dxa"/>
            <w:tcBorders>
              <w:top w:val="single" w:sz="4" w:space="0" w:color="auto"/>
            </w:tcBorders>
          </w:tcPr>
          <w:p w:rsidR="00363BFF" w:rsidRPr="00BA3B2F" w:rsidRDefault="00363BFF" w:rsidP="00A269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2F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3B2F">
              <w:rPr>
                <w:rFonts w:ascii="Times New Roman" w:hAnsi="Times New Roman" w:cs="Times New Roman"/>
                <w:sz w:val="24"/>
                <w:szCs w:val="24"/>
              </w:rPr>
              <w:t>алогоплательщика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t xml:space="preserve"> </w:t>
            </w:r>
            <w:r w:rsidRPr="00865BC0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:rsidR="00363BFF" w:rsidRPr="00BA3B2F" w:rsidRDefault="00363BFF" w:rsidP="00A269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1" w:type="dxa"/>
            <w:tcBorders>
              <w:top w:val="single" w:sz="4" w:space="0" w:color="auto"/>
            </w:tcBorders>
          </w:tcPr>
          <w:p w:rsidR="00363BFF" w:rsidRPr="00BA3B2F" w:rsidRDefault="00363BFF" w:rsidP="00A269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3B2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(Основной государственный регистрационный номер индивидуального предпринимателя)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45"/>
        <w:gridCol w:w="1343"/>
        <w:gridCol w:w="1396"/>
        <w:gridCol w:w="1209"/>
        <w:gridCol w:w="1343"/>
        <w:gridCol w:w="1396"/>
        <w:gridCol w:w="745"/>
        <w:gridCol w:w="618"/>
        <w:gridCol w:w="792"/>
        <w:gridCol w:w="1591"/>
        <w:gridCol w:w="1220"/>
        <w:gridCol w:w="1473"/>
      </w:tblGrid>
      <w:tr w:rsidR="00363BFF" w:rsidRPr="003C000A" w:rsidTr="00A26993">
        <w:tc>
          <w:tcPr>
            <w:tcW w:w="1945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Наименование лизинговой организации/ Идентификационный номер налогоплательщика/</w:t>
            </w:r>
            <w:r w:rsidRPr="003C000A">
              <w:rPr>
                <w:sz w:val="20"/>
              </w:rPr>
              <w:t xml:space="preserve"> </w:t>
            </w:r>
            <w:r w:rsidRPr="003C000A">
              <w:rPr>
                <w:rFonts w:ascii="Times New Roman" w:hAnsi="Times New Roman" w:cs="Times New Roman"/>
                <w:sz w:val="20"/>
              </w:rPr>
              <w:t>Код причины постановки на учет</w:t>
            </w:r>
          </w:p>
        </w:tc>
        <w:tc>
          <w:tcPr>
            <w:tcW w:w="1343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Номер и дата договора лизинга оборудования</w:t>
            </w:r>
          </w:p>
        </w:tc>
        <w:tc>
          <w:tcPr>
            <w:tcW w:w="1396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Наименование оборудования</w:t>
            </w:r>
          </w:p>
        </w:tc>
        <w:tc>
          <w:tcPr>
            <w:tcW w:w="1209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Количество,  штук</w:t>
            </w:r>
          </w:p>
        </w:tc>
        <w:tc>
          <w:tcPr>
            <w:tcW w:w="1343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Стоимость оборудования по договору лизинга</w:t>
            </w:r>
          </w:p>
        </w:tc>
        <w:tc>
          <w:tcPr>
            <w:tcW w:w="3496" w:type="dxa"/>
            <w:gridSpan w:val="4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Платёжные (расчётные)документы, подтверждающие оплату первого взноса (аванса) по договору лизинга оборудования</w:t>
            </w:r>
          </w:p>
        </w:tc>
        <w:tc>
          <w:tcPr>
            <w:tcW w:w="1591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Размер первоначального взноса (аванса) по договору лизинга</w:t>
            </w:r>
            <w:r>
              <w:rPr>
                <w:rFonts w:ascii="Times New Roman" w:hAnsi="Times New Roman" w:cs="Times New Roman"/>
                <w:sz w:val="20"/>
              </w:rPr>
              <w:t>, рублей</w:t>
            </w:r>
          </w:p>
        </w:tc>
        <w:tc>
          <w:tcPr>
            <w:tcW w:w="1220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Предельный размер субсидии</w:t>
            </w:r>
            <w:r>
              <w:rPr>
                <w:rFonts w:ascii="Times New Roman" w:hAnsi="Times New Roman" w:cs="Times New Roman"/>
                <w:sz w:val="20"/>
              </w:rPr>
              <w:t>, рублей</w:t>
            </w:r>
          </w:p>
        </w:tc>
        <w:tc>
          <w:tcPr>
            <w:tcW w:w="1473" w:type="dxa"/>
            <w:vMerge w:val="restart"/>
          </w:tcPr>
          <w:p w:rsidR="00363BFF" w:rsidRPr="003C000A" w:rsidRDefault="00363BFF" w:rsidP="00A26993">
            <w:pPr>
              <w:pStyle w:val="ConsPlusNormal"/>
              <w:ind w:left="-117" w:right="-143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Размер запрашиваемой субсидии (1/2 значения, указанного в столбце 10, но не более значения, указанного в столбце 11)</w:t>
            </w:r>
            <w:r>
              <w:rPr>
                <w:rFonts w:ascii="Times New Roman" w:hAnsi="Times New Roman" w:cs="Times New Roman"/>
                <w:sz w:val="20"/>
              </w:rPr>
              <w:t>, рублей</w:t>
            </w:r>
          </w:p>
        </w:tc>
      </w:tr>
      <w:tr w:rsidR="00363BFF" w:rsidRPr="003C000A" w:rsidTr="00A26993">
        <w:tc>
          <w:tcPr>
            <w:tcW w:w="1945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45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 xml:space="preserve">Номер </w:t>
            </w:r>
          </w:p>
        </w:tc>
        <w:tc>
          <w:tcPr>
            <w:tcW w:w="595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 xml:space="preserve">Дата </w:t>
            </w:r>
          </w:p>
        </w:tc>
        <w:tc>
          <w:tcPr>
            <w:tcW w:w="760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 xml:space="preserve">Сумма </w:t>
            </w:r>
          </w:p>
        </w:tc>
        <w:tc>
          <w:tcPr>
            <w:tcW w:w="1591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3" w:type="dxa"/>
            <w:vMerge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3BFF" w:rsidRPr="003C000A" w:rsidTr="00A26993">
        <w:tc>
          <w:tcPr>
            <w:tcW w:w="194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09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4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59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6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91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2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7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000A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363BFF" w:rsidRPr="003C000A" w:rsidTr="00A26993">
        <w:tc>
          <w:tcPr>
            <w:tcW w:w="1945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7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63BFF" w:rsidRPr="003C000A" w:rsidTr="00A26993">
        <w:tc>
          <w:tcPr>
            <w:tcW w:w="1945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4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6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91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7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63BFF" w:rsidRPr="003C000A" w:rsidTr="00A26993">
        <w:tc>
          <w:tcPr>
            <w:tcW w:w="1945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209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6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4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95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76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91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0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10 000 000</w:t>
            </w:r>
          </w:p>
        </w:tc>
        <w:tc>
          <w:tcPr>
            <w:tcW w:w="1473" w:type="dxa"/>
          </w:tcPr>
          <w:p w:rsidR="00363BFF" w:rsidRPr="003C000A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83"/>
        <w:gridCol w:w="1701"/>
        <w:gridCol w:w="284"/>
        <w:gridCol w:w="3402"/>
      </w:tblGrid>
      <w:tr w:rsidR="00363BFF" w:rsidTr="00A26993">
        <w:tc>
          <w:tcPr>
            <w:tcW w:w="4815" w:type="dxa"/>
          </w:tcPr>
          <w:p w:rsidR="00363BFF" w:rsidRPr="006D1B25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Руководитель юридического лица</w:t>
            </w:r>
          </w:p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B25">
              <w:rPr>
                <w:rFonts w:ascii="Times New Roman" w:hAnsi="Times New Roman" w:cs="Times New Roman"/>
                <w:sz w:val="28"/>
                <w:szCs w:val="28"/>
              </w:rPr>
              <w:t>(индивидуальный предприниматель)</w:t>
            </w:r>
          </w:p>
        </w:tc>
        <w:tc>
          <w:tcPr>
            <w:tcW w:w="283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3BFF" w:rsidTr="00A26993">
        <w:tc>
          <w:tcPr>
            <w:tcW w:w="4815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363BFF" w:rsidRDefault="00363BFF" w:rsidP="00A2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363BFF" w:rsidRDefault="00363BFF" w:rsidP="00A2699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63BFF" w:rsidRDefault="00363BFF" w:rsidP="00A26993">
            <w:pPr>
              <w:pStyle w:val="ConsPlusNormal"/>
              <w:ind w:left="-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</w:p>
        </w:tc>
      </w:tr>
    </w:tbl>
    <w:p w:rsidR="00363BFF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6D1B25" w:rsidRDefault="00363BFF" w:rsidP="00363B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1B25">
        <w:rPr>
          <w:rFonts w:ascii="Times New Roman" w:hAnsi="Times New Roman" w:cs="Times New Roman"/>
          <w:sz w:val="28"/>
          <w:szCs w:val="28"/>
        </w:rPr>
        <w:t>___ _____________ 20 __ г.</w:t>
      </w:r>
    </w:p>
    <w:p w:rsidR="00363BFF" w:rsidRPr="006D1B25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Pr="007D2871" w:rsidRDefault="00363BFF" w:rsidP="00363B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B25">
        <w:rPr>
          <w:rFonts w:ascii="Times New Roman" w:hAnsi="Times New Roman" w:cs="Times New Roman"/>
          <w:sz w:val="28"/>
          <w:szCs w:val="28"/>
        </w:rPr>
        <w:t>М.П</w:t>
      </w:r>
      <w:r w:rsidRPr="007D2871">
        <w:rPr>
          <w:rFonts w:ascii="Times New Roman" w:hAnsi="Times New Roman" w:cs="Times New Roman"/>
          <w:sz w:val="24"/>
          <w:szCs w:val="24"/>
        </w:rPr>
        <w:t>. (при наличии)</w:t>
      </w: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363BF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  <w:sectPr w:rsidR="00363BFF" w:rsidSect="00363BFF">
          <w:pgSz w:w="16838" w:h="11905" w:orient="landscape"/>
          <w:pgMar w:top="1134" w:right="851" w:bottom="567" w:left="851" w:header="113" w:footer="0" w:gutter="0"/>
          <w:cols w:space="720"/>
          <w:titlePg/>
          <w:docGrid w:linePitch="299"/>
        </w:sectPr>
      </w:pPr>
    </w:p>
    <w:p w:rsidR="00363BFF" w:rsidRPr="004F0E23" w:rsidRDefault="00363BFF" w:rsidP="00363BFF">
      <w:pPr>
        <w:pStyle w:val="ConsPlusTitle"/>
        <w:widowControl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F0E23">
        <w:rPr>
          <w:rFonts w:ascii="Times New Roman" w:hAnsi="Times New Roman" w:cs="Times New Roman"/>
          <w:caps/>
          <w:sz w:val="28"/>
          <w:szCs w:val="28"/>
        </w:rPr>
        <w:lastRenderedPageBreak/>
        <w:t>Пояснительная записка</w:t>
      </w:r>
    </w:p>
    <w:p w:rsidR="00363BFF" w:rsidRPr="00EC78A2" w:rsidRDefault="00363BFF" w:rsidP="00363BFF">
      <w:pPr>
        <w:tabs>
          <w:tab w:val="left" w:pos="4820"/>
          <w:tab w:val="left" w:pos="496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78F">
        <w:rPr>
          <w:rFonts w:ascii="Times New Roman" w:hAnsi="Times New Roman" w:cs="Times New Roman"/>
          <w:b/>
          <w:sz w:val="28"/>
          <w:szCs w:val="28"/>
        </w:rPr>
        <w:t>к проекту постановления Кабинета Министров Республики Татарстан «</w:t>
      </w:r>
      <w:r w:rsidRPr="009260AF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 w:rsidRPr="000A678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63BFF" w:rsidRPr="006D1932" w:rsidRDefault="00363BFF" w:rsidP="00363BF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63BFF" w:rsidRDefault="00363BFF" w:rsidP="00363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Кабинета Министров Республики Татарстан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 в целях реализации государственной программы Республики Татарстан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 xml:space="preserve">«Развитие обрабатывающих отраслей промышленности Республики Татарстан», утвержденной постановлением Кабинета Министров Республики Татарстан от 03.11.2021 №1043 «Об утверждении государственной программы Республики Татарстан «Развитие обрабатывающих отраслей промышленности Республики Татарстан»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bookmarkStart w:id="11" w:name="_GoBack"/>
      <w:bookmarkEnd w:id="11"/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15 марта 2016 г. №194 «Об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BFF" w:rsidRDefault="00363BFF" w:rsidP="00363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Проектируемым постановлением определяется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>цель, условия и правила предоставления</w:t>
      </w:r>
      <w:r w:rsidRPr="00370E04">
        <w:rPr>
          <w:rFonts w:ascii="Times New Roman" w:hAnsi="Times New Roman" w:cs="Times New Roman"/>
          <w:sz w:val="28"/>
          <w:szCs w:val="28"/>
        </w:rPr>
        <w:t xml:space="preserve">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>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устанавливается порядок проведения конкурсного отбора, порядок 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 xml:space="preserve">расчета размера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 xml:space="preserve">убсидии, условия и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её </w:t>
      </w:r>
      <w:r w:rsidRPr="009077B2">
        <w:rPr>
          <w:rFonts w:ascii="Times New Roman" w:hAnsi="Times New Roman" w:cs="Times New Roman"/>
          <w:b w:val="0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а также требования к отчётности, осуществлению контроля за соблюдением условий, порядка и целей предоставления субсидии, и ответственность за их нарушение. </w:t>
      </w:r>
    </w:p>
    <w:p w:rsidR="00363BFF" w:rsidRDefault="00363BFF" w:rsidP="00363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CD3">
        <w:rPr>
          <w:rFonts w:ascii="Times New Roman" w:hAnsi="Times New Roman" w:cs="Times New Roman"/>
          <w:b w:val="0"/>
          <w:sz w:val="28"/>
          <w:szCs w:val="28"/>
        </w:rPr>
        <w:t>Объем финансирования государственной программы из бюджета Республики Татарстан в 2022 году составляет 90 млн рублей.</w:t>
      </w:r>
      <w:r w:rsidRPr="00C44A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63BFF" w:rsidRDefault="00363BFF" w:rsidP="00363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постановления Кабинета Министров Республики Татарстан </w:t>
      </w:r>
      <w:r w:rsidRPr="009260AF">
        <w:rPr>
          <w:rFonts w:ascii="Times New Roman" w:hAnsi="Times New Roman" w:cs="Times New Roman"/>
          <w:b w:val="0"/>
          <w:sz w:val="28"/>
          <w:szCs w:val="28"/>
        </w:rPr>
        <w:t>«Об утверждении порядка предоставления субсидий из бюджета Республики Татарстан на возмещение промышленным предприятиям части затрат на уплату первого взноса (аванса) при заключении договора (договоров) лизинга оборудования с российскими лизинговыми организациями»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 </w:t>
      </w:r>
      <w:r w:rsidRPr="00D933C4">
        <w:rPr>
          <w:rFonts w:ascii="Times New Roman" w:hAnsi="Times New Roman" w:cs="Times New Roman"/>
          <w:b w:val="0"/>
          <w:sz w:val="28"/>
          <w:szCs w:val="28"/>
        </w:rPr>
        <w:t>потребует дополнительных расходов из бюджета Республики Татарстан.</w:t>
      </w:r>
    </w:p>
    <w:p w:rsidR="00363BFF" w:rsidRPr="00EC78A2" w:rsidRDefault="00363BFF" w:rsidP="00363BF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BFF" w:rsidRDefault="00363BFF" w:rsidP="001141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3BFF" w:rsidSect="00363BFF"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6E0" w:rsidRDefault="00F266E0" w:rsidP="00DD009F">
      <w:pPr>
        <w:spacing w:after="0" w:line="240" w:lineRule="auto"/>
      </w:pPr>
      <w:r>
        <w:separator/>
      </w:r>
    </w:p>
  </w:endnote>
  <w:endnote w:type="continuationSeparator" w:id="0">
    <w:p w:rsidR="00F266E0" w:rsidRDefault="00F266E0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6E0" w:rsidRDefault="00F266E0" w:rsidP="00DD009F">
      <w:pPr>
        <w:spacing w:after="0" w:line="240" w:lineRule="auto"/>
      </w:pPr>
      <w:r>
        <w:separator/>
      </w:r>
    </w:p>
  </w:footnote>
  <w:footnote w:type="continuationSeparator" w:id="0">
    <w:p w:rsidR="00F266E0" w:rsidRDefault="00F266E0" w:rsidP="00DD0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43AD5"/>
    <w:rsid w:val="00044C7E"/>
    <w:rsid w:val="000514C6"/>
    <w:rsid w:val="000514FF"/>
    <w:rsid w:val="00055ADB"/>
    <w:rsid w:val="00057D44"/>
    <w:rsid w:val="0006268D"/>
    <w:rsid w:val="00067946"/>
    <w:rsid w:val="0007293A"/>
    <w:rsid w:val="00075E19"/>
    <w:rsid w:val="0007655D"/>
    <w:rsid w:val="000817B7"/>
    <w:rsid w:val="00082B7C"/>
    <w:rsid w:val="00092FE7"/>
    <w:rsid w:val="00093133"/>
    <w:rsid w:val="000A3520"/>
    <w:rsid w:val="000B6B07"/>
    <w:rsid w:val="000C1C34"/>
    <w:rsid w:val="000C4072"/>
    <w:rsid w:val="000C5D2F"/>
    <w:rsid w:val="000C6C30"/>
    <w:rsid w:val="000D502F"/>
    <w:rsid w:val="000E0A82"/>
    <w:rsid w:val="000F3053"/>
    <w:rsid w:val="00101253"/>
    <w:rsid w:val="00105328"/>
    <w:rsid w:val="00107DEA"/>
    <w:rsid w:val="001141EB"/>
    <w:rsid w:val="00114237"/>
    <w:rsid w:val="00116358"/>
    <w:rsid w:val="00124998"/>
    <w:rsid w:val="00125824"/>
    <w:rsid w:val="00131A54"/>
    <w:rsid w:val="0013553B"/>
    <w:rsid w:val="0014211E"/>
    <w:rsid w:val="00144396"/>
    <w:rsid w:val="00144BC7"/>
    <w:rsid w:val="00152E95"/>
    <w:rsid w:val="001534CD"/>
    <w:rsid w:val="00157C5A"/>
    <w:rsid w:val="00157D89"/>
    <w:rsid w:val="001617FF"/>
    <w:rsid w:val="001620B7"/>
    <w:rsid w:val="001632CE"/>
    <w:rsid w:val="00164A6C"/>
    <w:rsid w:val="00170F72"/>
    <w:rsid w:val="001728B0"/>
    <w:rsid w:val="00172DBB"/>
    <w:rsid w:val="00176E9E"/>
    <w:rsid w:val="00187CB8"/>
    <w:rsid w:val="001A0607"/>
    <w:rsid w:val="001C4355"/>
    <w:rsid w:val="001D095D"/>
    <w:rsid w:val="001D7A33"/>
    <w:rsid w:val="001E2363"/>
    <w:rsid w:val="001E7584"/>
    <w:rsid w:val="001F0B37"/>
    <w:rsid w:val="001F570E"/>
    <w:rsid w:val="001F5C51"/>
    <w:rsid w:val="00203A8E"/>
    <w:rsid w:val="00204084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72D9"/>
    <w:rsid w:val="0024265E"/>
    <w:rsid w:val="0025178D"/>
    <w:rsid w:val="002524D0"/>
    <w:rsid w:val="002526C4"/>
    <w:rsid w:val="00256898"/>
    <w:rsid w:val="00257F38"/>
    <w:rsid w:val="002601E4"/>
    <w:rsid w:val="002628F3"/>
    <w:rsid w:val="002672F8"/>
    <w:rsid w:val="00275142"/>
    <w:rsid w:val="00275854"/>
    <w:rsid w:val="00276936"/>
    <w:rsid w:val="0028137D"/>
    <w:rsid w:val="00283AB2"/>
    <w:rsid w:val="00295B84"/>
    <w:rsid w:val="00295BD5"/>
    <w:rsid w:val="00296DA8"/>
    <w:rsid w:val="002B19A5"/>
    <w:rsid w:val="002B68E6"/>
    <w:rsid w:val="002B74E2"/>
    <w:rsid w:val="002D20AF"/>
    <w:rsid w:val="002D3849"/>
    <w:rsid w:val="002D46D5"/>
    <w:rsid w:val="002E4037"/>
    <w:rsid w:val="002E5B45"/>
    <w:rsid w:val="002F270F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63BFF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7629"/>
    <w:rsid w:val="0039792F"/>
    <w:rsid w:val="003A55E6"/>
    <w:rsid w:val="003B1CC6"/>
    <w:rsid w:val="003B3122"/>
    <w:rsid w:val="003B44CC"/>
    <w:rsid w:val="003B4EC2"/>
    <w:rsid w:val="003B6506"/>
    <w:rsid w:val="003C1088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779"/>
    <w:rsid w:val="00416F48"/>
    <w:rsid w:val="004271A5"/>
    <w:rsid w:val="0043304B"/>
    <w:rsid w:val="00434C77"/>
    <w:rsid w:val="004411AC"/>
    <w:rsid w:val="0044794D"/>
    <w:rsid w:val="00451853"/>
    <w:rsid w:val="00454BC7"/>
    <w:rsid w:val="00456208"/>
    <w:rsid w:val="0045726C"/>
    <w:rsid w:val="004718E1"/>
    <w:rsid w:val="00475216"/>
    <w:rsid w:val="00477282"/>
    <w:rsid w:val="00482A39"/>
    <w:rsid w:val="00486821"/>
    <w:rsid w:val="00487709"/>
    <w:rsid w:val="00487D6F"/>
    <w:rsid w:val="004A369B"/>
    <w:rsid w:val="004B14F5"/>
    <w:rsid w:val="004D1CBC"/>
    <w:rsid w:val="004D298D"/>
    <w:rsid w:val="004D410D"/>
    <w:rsid w:val="004D499C"/>
    <w:rsid w:val="004D6CA2"/>
    <w:rsid w:val="004D7EAA"/>
    <w:rsid w:val="004E0B05"/>
    <w:rsid w:val="004E2430"/>
    <w:rsid w:val="004F57B9"/>
    <w:rsid w:val="00510DB9"/>
    <w:rsid w:val="0051220D"/>
    <w:rsid w:val="0051545C"/>
    <w:rsid w:val="0051616A"/>
    <w:rsid w:val="00517E43"/>
    <w:rsid w:val="005213D6"/>
    <w:rsid w:val="00521A35"/>
    <w:rsid w:val="00524DB7"/>
    <w:rsid w:val="00526004"/>
    <w:rsid w:val="00526160"/>
    <w:rsid w:val="005273ED"/>
    <w:rsid w:val="00530F51"/>
    <w:rsid w:val="00531137"/>
    <w:rsid w:val="00531CDE"/>
    <w:rsid w:val="00536AF5"/>
    <w:rsid w:val="00546F59"/>
    <w:rsid w:val="00553177"/>
    <w:rsid w:val="00555D36"/>
    <w:rsid w:val="00557C58"/>
    <w:rsid w:val="00560453"/>
    <w:rsid w:val="00560BB6"/>
    <w:rsid w:val="00562001"/>
    <w:rsid w:val="005669F9"/>
    <w:rsid w:val="005725EF"/>
    <w:rsid w:val="005755AE"/>
    <w:rsid w:val="0059154E"/>
    <w:rsid w:val="00595AA6"/>
    <w:rsid w:val="00596F85"/>
    <w:rsid w:val="005C4708"/>
    <w:rsid w:val="005C51B3"/>
    <w:rsid w:val="005C76DA"/>
    <w:rsid w:val="005D5A1A"/>
    <w:rsid w:val="005D7670"/>
    <w:rsid w:val="005E1702"/>
    <w:rsid w:val="005E751B"/>
    <w:rsid w:val="005F2F54"/>
    <w:rsid w:val="005F5959"/>
    <w:rsid w:val="005F79AA"/>
    <w:rsid w:val="005F7F79"/>
    <w:rsid w:val="00604EC7"/>
    <w:rsid w:val="00606117"/>
    <w:rsid w:val="006061D7"/>
    <w:rsid w:val="0060683C"/>
    <w:rsid w:val="006128FE"/>
    <w:rsid w:val="00622B85"/>
    <w:rsid w:val="00623C31"/>
    <w:rsid w:val="00623E01"/>
    <w:rsid w:val="00624359"/>
    <w:rsid w:val="00625A9E"/>
    <w:rsid w:val="00626C8A"/>
    <w:rsid w:val="00636A70"/>
    <w:rsid w:val="0064167A"/>
    <w:rsid w:val="00644E00"/>
    <w:rsid w:val="00652B35"/>
    <w:rsid w:val="00660C38"/>
    <w:rsid w:val="00663975"/>
    <w:rsid w:val="0066564B"/>
    <w:rsid w:val="00667BF6"/>
    <w:rsid w:val="00673AB0"/>
    <w:rsid w:val="0069425D"/>
    <w:rsid w:val="006968D1"/>
    <w:rsid w:val="00697CDD"/>
    <w:rsid w:val="006A3A52"/>
    <w:rsid w:val="006A5D10"/>
    <w:rsid w:val="006B2785"/>
    <w:rsid w:val="006B3359"/>
    <w:rsid w:val="006C136F"/>
    <w:rsid w:val="006C26CA"/>
    <w:rsid w:val="006C2F51"/>
    <w:rsid w:val="006D0F29"/>
    <w:rsid w:val="006D2AE3"/>
    <w:rsid w:val="006D3AAE"/>
    <w:rsid w:val="006F340E"/>
    <w:rsid w:val="006F433A"/>
    <w:rsid w:val="006F6D56"/>
    <w:rsid w:val="006F79BF"/>
    <w:rsid w:val="00703A46"/>
    <w:rsid w:val="00710EF9"/>
    <w:rsid w:val="00712C1E"/>
    <w:rsid w:val="0072188D"/>
    <w:rsid w:val="007247D0"/>
    <w:rsid w:val="00727FB1"/>
    <w:rsid w:val="00730D3A"/>
    <w:rsid w:val="00733DB6"/>
    <w:rsid w:val="00737DF3"/>
    <w:rsid w:val="0074725A"/>
    <w:rsid w:val="00755DED"/>
    <w:rsid w:val="0075675D"/>
    <w:rsid w:val="00762641"/>
    <w:rsid w:val="007648AE"/>
    <w:rsid w:val="0077100F"/>
    <w:rsid w:val="007759B7"/>
    <w:rsid w:val="007761A8"/>
    <w:rsid w:val="007871AC"/>
    <w:rsid w:val="00787FEB"/>
    <w:rsid w:val="007A6EAC"/>
    <w:rsid w:val="007B0717"/>
    <w:rsid w:val="007B4D89"/>
    <w:rsid w:val="007C37BC"/>
    <w:rsid w:val="007D0D03"/>
    <w:rsid w:val="007D65D4"/>
    <w:rsid w:val="007E468C"/>
    <w:rsid w:val="007E67E2"/>
    <w:rsid w:val="007F2A62"/>
    <w:rsid w:val="007F76AB"/>
    <w:rsid w:val="00800D4F"/>
    <w:rsid w:val="008062F3"/>
    <w:rsid w:val="00810841"/>
    <w:rsid w:val="008160BE"/>
    <w:rsid w:val="00816BEE"/>
    <w:rsid w:val="0082012D"/>
    <w:rsid w:val="00821720"/>
    <w:rsid w:val="00823F05"/>
    <w:rsid w:val="00835845"/>
    <w:rsid w:val="00836376"/>
    <w:rsid w:val="008422F0"/>
    <w:rsid w:val="0084309E"/>
    <w:rsid w:val="00857A23"/>
    <w:rsid w:val="00861845"/>
    <w:rsid w:val="0086548F"/>
    <w:rsid w:val="008708EA"/>
    <w:rsid w:val="00875407"/>
    <w:rsid w:val="00876673"/>
    <w:rsid w:val="0088059F"/>
    <w:rsid w:val="00880DD5"/>
    <w:rsid w:val="00884CD4"/>
    <w:rsid w:val="00896197"/>
    <w:rsid w:val="008A13A8"/>
    <w:rsid w:val="008A6167"/>
    <w:rsid w:val="008B0B77"/>
    <w:rsid w:val="008B51E9"/>
    <w:rsid w:val="008C29B4"/>
    <w:rsid w:val="008C74A0"/>
    <w:rsid w:val="008D05D2"/>
    <w:rsid w:val="008D0843"/>
    <w:rsid w:val="008D14F7"/>
    <w:rsid w:val="008D6341"/>
    <w:rsid w:val="008D6903"/>
    <w:rsid w:val="008D6BE2"/>
    <w:rsid w:val="008E059C"/>
    <w:rsid w:val="008E07B8"/>
    <w:rsid w:val="008E1C18"/>
    <w:rsid w:val="008E4504"/>
    <w:rsid w:val="008F5AC0"/>
    <w:rsid w:val="008F6AF2"/>
    <w:rsid w:val="0090040C"/>
    <w:rsid w:val="00906211"/>
    <w:rsid w:val="00911357"/>
    <w:rsid w:val="00914DC4"/>
    <w:rsid w:val="00915627"/>
    <w:rsid w:val="00917C8B"/>
    <w:rsid w:val="00922646"/>
    <w:rsid w:val="00934791"/>
    <w:rsid w:val="0093653C"/>
    <w:rsid w:val="00941EC0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CB3"/>
    <w:rsid w:val="00997049"/>
    <w:rsid w:val="009A2E07"/>
    <w:rsid w:val="009A4984"/>
    <w:rsid w:val="009A611A"/>
    <w:rsid w:val="009B4168"/>
    <w:rsid w:val="009B6837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4C19"/>
    <w:rsid w:val="00A5714C"/>
    <w:rsid w:val="00A61236"/>
    <w:rsid w:val="00A63748"/>
    <w:rsid w:val="00A70527"/>
    <w:rsid w:val="00A7108A"/>
    <w:rsid w:val="00A76616"/>
    <w:rsid w:val="00A8076D"/>
    <w:rsid w:val="00A83449"/>
    <w:rsid w:val="00A839C4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0293"/>
    <w:rsid w:val="00AE21DC"/>
    <w:rsid w:val="00AE5E5F"/>
    <w:rsid w:val="00AE5F73"/>
    <w:rsid w:val="00AE6768"/>
    <w:rsid w:val="00AF027F"/>
    <w:rsid w:val="00AF3527"/>
    <w:rsid w:val="00AF3F68"/>
    <w:rsid w:val="00AF49C1"/>
    <w:rsid w:val="00B04ECA"/>
    <w:rsid w:val="00B11B9B"/>
    <w:rsid w:val="00B35B4A"/>
    <w:rsid w:val="00B3644E"/>
    <w:rsid w:val="00B44C3F"/>
    <w:rsid w:val="00B4577A"/>
    <w:rsid w:val="00B50933"/>
    <w:rsid w:val="00B60824"/>
    <w:rsid w:val="00B628A9"/>
    <w:rsid w:val="00B62CDB"/>
    <w:rsid w:val="00B6330F"/>
    <w:rsid w:val="00B63509"/>
    <w:rsid w:val="00B701DD"/>
    <w:rsid w:val="00B77554"/>
    <w:rsid w:val="00B82A05"/>
    <w:rsid w:val="00B852A4"/>
    <w:rsid w:val="00B86252"/>
    <w:rsid w:val="00B9153D"/>
    <w:rsid w:val="00B923F0"/>
    <w:rsid w:val="00B95C6B"/>
    <w:rsid w:val="00B96716"/>
    <w:rsid w:val="00BB65A6"/>
    <w:rsid w:val="00BB6D4B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025E"/>
    <w:rsid w:val="00C61C27"/>
    <w:rsid w:val="00C630E0"/>
    <w:rsid w:val="00C73E73"/>
    <w:rsid w:val="00C806E7"/>
    <w:rsid w:val="00C84D82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5993"/>
    <w:rsid w:val="00D16C6B"/>
    <w:rsid w:val="00D20D71"/>
    <w:rsid w:val="00D278AB"/>
    <w:rsid w:val="00D37C8F"/>
    <w:rsid w:val="00D44CC2"/>
    <w:rsid w:val="00D5621B"/>
    <w:rsid w:val="00D57E84"/>
    <w:rsid w:val="00D710F2"/>
    <w:rsid w:val="00D71793"/>
    <w:rsid w:val="00D813F0"/>
    <w:rsid w:val="00D822B3"/>
    <w:rsid w:val="00D9217F"/>
    <w:rsid w:val="00D93249"/>
    <w:rsid w:val="00D971E3"/>
    <w:rsid w:val="00D97415"/>
    <w:rsid w:val="00D97A96"/>
    <w:rsid w:val="00DA3E09"/>
    <w:rsid w:val="00DB4826"/>
    <w:rsid w:val="00DC0538"/>
    <w:rsid w:val="00DC24AE"/>
    <w:rsid w:val="00DC4E53"/>
    <w:rsid w:val="00DC77E5"/>
    <w:rsid w:val="00DD009F"/>
    <w:rsid w:val="00DD5E17"/>
    <w:rsid w:val="00DE3263"/>
    <w:rsid w:val="00DF251C"/>
    <w:rsid w:val="00DF3BFC"/>
    <w:rsid w:val="00DF5A1A"/>
    <w:rsid w:val="00E01A02"/>
    <w:rsid w:val="00E03D57"/>
    <w:rsid w:val="00E043D7"/>
    <w:rsid w:val="00E118AE"/>
    <w:rsid w:val="00E11B33"/>
    <w:rsid w:val="00E138D6"/>
    <w:rsid w:val="00E16309"/>
    <w:rsid w:val="00E20599"/>
    <w:rsid w:val="00E228A8"/>
    <w:rsid w:val="00E27A20"/>
    <w:rsid w:val="00E33E12"/>
    <w:rsid w:val="00E34473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D5288"/>
    <w:rsid w:val="00EE06F6"/>
    <w:rsid w:val="00EE31B1"/>
    <w:rsid w:val="00EE4298"/>
    <w:rsid w:val="00EF14B8"/>
    <w:rsid w:val="00F04946"/>
    <w:rsid w:val="00F074EA"/>
    <w:rsid w:val="00F266E0"/>
    <w:rsid w:val="00F26F87"/>
    <w:rsid w:val="00F34280"/>
    <w:rsid w:val="00F349F1"/>
    <w:rsid w:val="00F369E0"/>
    <w:rsid w:val="00F40ECB"/>
    <w:rsid w:val="00F44FEA"/>
    <w:rsid w:val="00F47AC4"/>
    <w:rsid w:val="00F51FB1"/>
    <w:rsid w:val="00F62D49"/>
    <w:rsid w:val="00F63416"/>
    <w:rsid w:val="00F63F81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C0C68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5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  <w:style w:type="paragraph" w:styleId="af1">
    <w:name w:val="No Spacing"/>
    <w:link w:val="af2"/>
    <w:uiPriority w:val="1"/>
    <w:qFormat/>
    <w:rsid w:val="00363BF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363BFF"/>
    <w:rPr>
      <w:rFonts w:ascii="Calibri" w:eastAsia="Times New Roman" w:hAnsi="Calibri" w:cs="Calibri"/>
      <w:lang w:eastAsia="ru-RU"/>
    </w:rPr>
  </w:style>
  <w:style w:type="paragraph" w:styleId="af3">
    <w:name w:val="List Paragraph"/>
    <w:aliases w:val="ПАРАГРАФ"/>
    <w:basedOn w:val="a"/>
    <w:link w:val="af4"/>
    <w:uiPriority w:val="99"/>
    <w:qFormat/>
    <w:rsid w:val="00363BFF"/>
    <w:pPr>
      <w:spacing w:after="160" w:line="259" w:lineRule="auto"/>
      <w:ind w:left="720"/>
      <w:contextualSpacing/>
    </w:pPr>
  </w:style>
  <w:style w:type="character" w:customStyle="1" w:styleId="af4">
    <w:name w:val="Абзац списка Знак"/>
    <w:aliases w:val="ПАРАГРАФ Знак"/>
    <w:link w:val="af3"/>
    <w:uiPriority w:val="99"/>
    <w:rsid w:val="00363BFF"/>
  </w:style>
  <w:style w:type="character" w:customStyle="1" w:styleId="dash041e0431044b0447043d044b0439char">
    <w:name w:val="dash041e_0431_044b_0447_043d_044b_0439__char"/>
    <w:basedOn w:val="a0"/>
    <w:rsid w:val="0036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4BBD566AEEC57DEEABE823017E638C584F21EABB44C6282E6239B12A3D81B9806C9BE55B73BA7600245D4505A6626A14D4B7D732723C9708A20358p0e4G" TargetMode="External"/><Relationship Id="rId13" Type="http://schemas.openxmlformats.org/officeDocument/2006/relationships/hyperlink" Target="consultantplus://offline/ref=714BBD566AEEC57DEEABF62E17123E885C447BE0B94DC47B7B353FE6756D87ECC02C9DB41363E633552A5B441CAD34255281B8pDe7G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4BBD566AEEC57DEEABF62E17123E885C447BE1BA40C47B7B353FE6756D87ECC02C9DB01835B475052C0D1446F83B39519FBAD72D6E3C97p1e4G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4BBD566AEEC57DEEABF62E17123E885C447BE1BA40C47B7B353FE6756D87ECC02C9DB01835B577002C0D1446F83B39519FBAD72D6E3C97p1e4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wmf"/><Relationship Id="rId10" Type="http://schemas.openxmlformats.org/officeDocument/2006/relationships/hyperlink" Target="consultantplus://offline/ref=714BBD566AEEC57DEEABF62E17123E885C447BE1BA40C47B7B353FE6756D87ECC02C9DB01835B675072C0D1446F83B39519FBAD72D6E3C97p1e4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4BBD566AEEC57DEEABF62E17123E885C447BE1BA40C47B7B353FE6756D87ECC02C9DB01832B172082C0D1446F83B39519FBAD72D6E3C97p1e4G" TargetMode="External"/><Relationship Id="rId14" Type="http://schemas.openxmlformats.org/officeDocument/2006/relationships/hyperlink" Target="consultantplus://offline/ref=714BBD566AEEC57DEEABF62E17123E885B407DE4B94CC47B7B353FE6756D87ECC02C9DB21F3FBC2351630C4800AC283B529FB8D531p6e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53BF-9DBC-40D4-8E13-8FB39CBD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7189</Words>
  <Characters>40979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2022-01-25T12:09:00Z</cp:lastPrinted>
  <dcterms:created xsi:type="dcterms:W3CDTF">2022-03-24T13:47:00Z</dcterms:created>
  <dcterms:modified xsi:type="dcterms:W3CDTF">2022-03-24T13:47:00Z</dcterms:modified>
</cp:coreProperties>
</file>