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Контактные лица для направления</w:t>
      </w:r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замечаний и предложений:</w:t>
      </w:r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Ибрагимов Рамазан Рафисович</w:t>
      </w:r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ведущий специалист отдела развития малых форм хозяйствования</w:t>
      </w:r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Телефон: +7 (843) </w:t>
      </w:r>
      <w:r>
        <w:rPr>
          <w:rFonts w:eastAsia="Calibri"/>
          <w:sz w:val="28"/>
          <w:szCs w:val="28"/>
        </w:rPr>
        <w:t>221-76-54</w:t>
      </w:r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Email</w:t>
      </w:r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  <w:lang w:val="en-US"/>
        </w:rPr>
        <w:t>Ramazan</w:t>
      </w:r>
      <w:proofErr w:type="spellEnd"/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Ibragimov</w:t>
      </w:r>
      <w:proofErr w:type="spellEnd"/>
      <w:r>
        <w:rPr>
          <w:rFonts w:eastAsia="Calibri"/>
          <w:sz w:val="28"/>
          <w:szCs w:val="28"/>
        </w:rPr>
        <w:t>@</w:t>
      </w:r>
      <w:proofErr w:type="spellStart"/>
      <w:r>
        <w:rPr>
          <w:rFonts w:eastAsia="Calibri"/>
          <w:sz w:val="28"/>
          <w:szCs w:val="28"/>
          <w:lang w:val="en-US"/>
        </w:rPr>
        <w:t>tatar</w:t>
      </w:r>
      <w:proofErr w:type="spellEnd"/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ru</w:t>
      </w:r>
      <w:proofErr w:type="spellEnd"/>
    </w:p>
    <w:p>
      <w:pPr>
        <w:tabs>
          <w:tab w:val="left" w:pos="10206"/>
        </w:tabs>
        <w:ind w:left="5529"/>
        <w:rPr>
          <w:rFonts w:eastAsia="Calibri"/>
          <w:sz w:val="28"/>
          <w:szCs w:val="28"/>
        </w:rPr>
      </w:pPr>
    </w:p>
    <w:p>
      <w:pPr>
        <w:tabs>
          <w:tab w:val="left" w:pos="4536"/>
          <w:tab w:val="left" w:pos="10206"/>
        </w:tabs>
        <w:ind w:left="5529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Шабаев</w:t>
      </w:r>
      <w:proofErr w:type="spellEnd"/>
      <w:r>
        <w:rPr>
          <w:rFonts w:eastAsia="Calibri"/>
          <w:sz w:val="28"/>
          <w:szCs w:val="28"/>
        </w:rPr>
        <w:t xml:space="preserve"> Адель Рустемович</w:t>
      </w:r>
    </w:p>
    <w:p>
      <w:pPr>
        <w:tabs>
          <w:tab w:val="left" w:pos="4536"/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 юридического отдела</w:t>
      </w:r>
    </w:p>
    <w:p>
      <w:pPr>
        <w:tabs>
          <w:tab w:val="left" w:pos="4536"/>
          <w:tab w:val="left" w:pos="10206"/>
        </w:tabs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Адрес: г. Казань, ул. </w:t>
      </w:r>
      <w:proofErr w:type="spellStart"/>
      <w:r>
        <w:rPr>
          <w:rFonts w:eastAsia="Calibri"/>
          <w:sz w:val="28"/>
          <w:szCs w:val="28"/>
        </w:rPr>
        <w:t>Федосеевская</w:t>
      </w:r>
      <w:proofErr w:type="spellEnd"/>
      <w:r>
        <w:rPr>
          <w:rFonts w:eastAsia="Calibri"/>
          <w:sz w:val="28"/>
          <w:szCs w:val="28"/>
        </w:rPr>
        <w:t>, 36</w:t>
      </w:r>
    </w:p>
    <w:p>
      <w:pPr>
        <w:tabs>
          <w:tab w:val="left" w:pos="4536"/>
          <w:tab w:val="left" w:pos="10206"/>
        </w:tabs>
        <w:ind w:left="552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Телефон</w:t>
      </w:r>
      <w:r>
        <w:rPr>
          <w:rFonts w:eastAsia="Calibri"/>
          <w:sz w:val="28"/>
          <w:szCs w:val="28"/>
          <w:lang w:val="en-US"/>
        </w:rPr>
        <w:t>: +7 (843) 221-76-14</w:t>
      </w:r>
    </w:p>
    <w:p>
      <w:pPr>
        <w:tabs>
          <w:tab w:val="left" w:pos="4536"/>
          <w:tab w:val="left" w:pos="10206"/>
        </w:tabs>
        <w:ind w:left="552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E-mail: Adel.Shabaev@tatar.ru</w:t>
      </w:r>
    </w:p>
    <w:p>
      <w:pPr>
        <w:tabs>
          <w:tab w:val="left" w:pos="4536"/>
          <w:tab w:val="left" w:pos="10206"/>
        </w:tabs>
        <w:rPr>
          <w:rFonts w:eastAsia="Calibri"/>
          <w:sz w:val="28"/>
          <w:szCs w:val="28"/>
          <w:lang w:val="en-US"/>
        </w:rPr>
      </w:pPr>
    </w:p>
    <w:p>
      <w:pPr>
        <w:tabs>
          <w:tab w:val="left" w:pos="4536"/>
          <w:tab w:val="left" w:pos="1020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>
      <w:pPr>
        <w:tabs>
          <w:tab w:val="left" w:pos="4536"/>
          <w:tab w:val="left" w:pos="1020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</w:t>
      </w:r>
    </w:p>
    <w:p>
      <w:pPr>
        <w:tabs>
          <w:tab w:val="left" w:pos="4536"/>
          <w:tab w:val="left" w:pos="1020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>
      <w:pPr>
        <w:tabs>
          <w:tab w:val="left" w:pos="4536"/>
          <w:tab w:val="left" w:pos="1020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 </w:t>
      </w:r>
      <w:proofErr w:type="spellStart"/>
      <w:r>
        <w:rPr>
          <w:rFonts w:eastAsia="Calibri"/>
          <w:sz w:val="28"/>
          <w:szCs w:val="28"/>
        </w:rPr>
        <w:t>г.Казань</w:t>
      </w:r>
      <w:proofErr w:type="spellEnd"/>
      <w:r>
        <w:rPr>
          <w:rFonts w:eastAsia="Calibri"/>
          <w:sz w:val="28"/>
          <w:szCs w:val="28"/>
        </w:rPr>
        <w:t xml:space="preserve"> №________</w:t>
      </w:r>
    </w:p>
    <w:p>
      <w:pPr>
        <w:tabs>
          <w:tab w:val="left" w:pos="4536"/>
          <w:tab w:val="left" w:pos="10206"/>
        </w:tabs>
        <w:rPr>
          <w:rFonts w:eastAsia="Calibri"/>
          <w:sz w:val="28"/>
          <w:szCs w:val="28"/>
        </w:rPr>
      </w:pPr>
    </w:p>
    <w:p>
      <w:pPr>
        <w:tabs>
          <w:tab w:val="left" w:pos="4536"/>
        </w:tabs>
        <w:ind w:right="51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x-none"/>
        </w:rPr>
        <w:t>Об утверждении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x-none"/>
        </w:rPr>
        <w:t>Порядка предоставления из бюджета Республики Татарстан грантов «</w:t>
      </w:r>
      <w:proofErr w:type="spellStart"/>
      <w:r>
        <w:rPr>
          <w:rFonts w:eastAsia="Calibri"/>
          <w:sz w:val="28"/>
          <w:szCs w:val="28"/>
          <w:lang w:val="x-none"/>
        </w:rPr>
        <w:t>Агротуризм</w:t>
      </w:r>
      <w:proofErr w:type="spellEnd"/>
      <w:r>
        <w:rPr>
          <w:rFonts w:eastAsia="Calibri"/>
          <w:sz w:val="28"/>
          <w:szCs w:val="28"/>
          <w:lang w:val="x-none"/>
        </w:rPr>
        <w:t xml:space="preserve">» на </w:t>
      </w:r>
      <w:r>
        <w:rPr>
          <w:rFonts w:eastAsia="Calibri"/>
          <w:sz w:val="28"/>
          <w:szCs w:val="28"/>
        </w:rPr>
        <w:t xml:space="preserve">финансовое обеспечение затрат, связанных с реализацией проектов </w:t>
      </w:r>
      <w:r>
        <w:rPr>
          <w:rFonts w:eastAsia="Calibri"/>
          <w:sz w:val="28"/>
          <w:szCs w:val="28"/>
          <w:lang w:val="x-none"/>
        </w:rPr>
        <w:t>развити</w:t>
      </w:r>
      <w:r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  <w:lang w:val="x-none"/>
        </w:rPr>
        <w:t xml:space="preserve"> сельского туризма, </w:t>
      </w:r>
      <w:r>
        <w:rPr>
          <w:rFonts w:eastAsia="Calibri"/>
          <w:sz w:val="28"/>
          <w:szCs w:val="28"/>
        </w:rPr>
        <w:t>с</w:t>
      </w:r>
      <w:proofErr w:type="spellStart"/>
      <w:r>
        <w:rPr>
          <w:rFonts w:eastAsia="Calibri"/>
          <w:sz w:val="28"/>
          <w:szCs w:val="28"/>
          <w:lang w:val="x-none"/>
        </w:rPr>
        <w:t>офинансируемых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x-none"/>
        </w:rPr>
        <w:t>из федерального бюджета</w:t>
      </w:r>
    </w:p>
    <w:p>
      <w:pPr>
        <w:ind w:right="4535"/>
        <w:jc w:val="both"/>
        <w:rPr>
          <w:rFonts w:eastAsia="Calibri"/>
          <w:sz w:val="28"/>
          <w:szCs w:val="28"/>
        </w:rPr>
      </w:pPr>
    </w:p>
    <w:p>
      <w:pPr>
        <w:jc w:val="both"/>
        <w:rPr>
          <w:rFonts w:eastAsia="Calibri"/>
          <w:sz w:val="28"/>
          <w:szCs w:val="28"/>
        </w:rPr>
      </w:pP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>
      <w:pPr>
        <w:pStyle w:val="a3"/>
        <w:ind w:firstLine="709"/>
      </w:pPr>
      <w:r>
        <w:rPr>
          <w:rFonts w:eastAsia="Calibri"/>
        </w:rPr>
        <w:t>1. Утвердить прилагаемый Порядок предоставления из бюджета Республики Татарстан грантов «</w:t>
      </w:r>
      <w:proofErr w:type="spellStart"/>
      <w:r>
        <w:rPr>
          <w:rFonts w:eastAsia="Calibri"/>
        </w:rPr>
        <w:t>Агротуризм</w:t>
      </w:r>
      <w:proofErr w:type="spellEnd"/>
      <w:r>
        <w:rPr>
          <w:rFonts w:eastAsia="Calibri"/>
        </w:rPr>
        <w:t xml:space="preserve">» на финансовое обеспечение затрат, связанных </w:t>
      </w:r>
      <w:proofErr w:type="gramStart"/>
      <w:r>
        <w:rPr>
          <w:rFonts w:eastAsia="Calibri"/>
        </w:rPr>
        <w:t>с  реализацией</w:t>
      </w:r>
      <w:proofErr w:type="gramEnd"/>
      <w:r>
        <w:rPr>
          <w:rFonts w:eastAsia="Calibri"/>
        </w:rPr>
        <w:t xml:space="preserve"> проектов развития сельского туризма, </w:t>
      </w:r>
      <w:proofErr w:type="spellStart"/>
      <w:r>
        <w:rPr>
          <w:rFonts w:eastAsia="Calibri"/>
        </w:rPr>
        <w:t>софинансируемых</w:t>
      </w:r>
      <w:proofErr w:type="spellEnd"/>
      <w:r>
        <w:rPr>
          <w:rFonts w:eastAsia="Calibri"/>
        </w:rPr>
        <w:t xml:space="preserve"> из федерального бюджета (далее – Порядок)</w:t>
      </w:r>
      <w:r>
        <w:t>.</w:t>
      </w:r>
    </w:p>
    <w:p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  <w:t>Установить, что настоящее постановление вступает силу со дня его опубликования, за исключением пункта 5.4 Порядка, вступающего в силу с 1 января 2023 года.</w:t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Приостановить до 1 января 2023 года действие абзаца третьего пункта 2.2 Порядка.</w:t>
      </w:r>
    </w:p>
    <w:p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ind w:firstLine="709"/>
        <w:jc w:val="both"/>
        <w:rPr>
          <w:rFonts w:eastAsia="Calibri"/>
          <w:sz w:val="28"/>
          <w:szCs w:val="28"/>
        </w:rPr>
      </w:pPr>
    </w:p>
    <w:p>
      <w:pPr>
        <w:ind w:firstLine="709"/>
        <w:jc w:val="both"/>
        <w:rPr>
          <w:rFonts w:eastAsia="Calibri"/>
          <w:sz w:val="28"/>
          <w:szCs w:val="28"/>
        </w:rPr>
      </w:pPr>
    </w:p>
    <w:p>
      <w:pPr>
        <w:adjustRightInd w:val="0"/>
        <w:ind w:firstLine="709"/>
        <w:jc w:val="both"/>
        <w:rPr>
          <w:sz w:val="28"/>
          <w:szCs w:val="28"/>
        </w:rPr>
      </w:pPr>
    </w:p>
    <w:p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ConsPlusNormal"/>
        <w:ind w:left="694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2022 № ______</w:t>
      </w:r>
    </w:p>
    <w:p>
      <w:pPr>
        <w:pStyle w:val="a3"/>
        <w:ind w:left="0" w:firstLine="709"/>
        <w:jc w:val="left"/>
      </w:pP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предоставления из бюджета Республики Татарстан грантов «</w:t>
      </w:r>
      <w:proofErr w:type="spellStart"/>
      <w:r>
        <w:rPr>
          <w:sz w:val="28"/>
          <w:szCs w:val="28"/>
        </w:rPr>
        <w:t>Агротуризм</w:t>
      </w:r>
      <w:proofErr w:type="spellEnd"/>
      <w:r>
        <w:rPr>
          <w:sz w:val="28"/>
          <w:szCs w:val="28"/>
        </w:rPr>
        <w:t>» на</w:t>
      </w:r>
      <w:r>
        <w:rPr>
          <w:spacing w:val="-2"/>
          <w:sz w:val="28"/>
          <w:szCs w:val="28"/>
        </w:rPr>
        <w:t xml:space="preserve"> финансовое обеспечение затрат, связанных с </w:t>
      </w:r>
      <w:r>
        <w:rPr>
          <w:sz w:val="28"/>
          <w:szCs w:val="28"/>
        </w:rPr>
        <w:t>реализацией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туризма,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из федерального бюджета</w:t>
      </w:r>
    </w:p>
    <w:p>
      <w:pPr>
        <w:pStyle w:val="a3"/>
        <w:ind w:left="0" w:firstLine="709"/>
        <w:jc w:val="left"/>
      </w:pPr>
    </w:p>
    <w:p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Общие положения о предоставлении грантов</w:t>
      </w:r>
    </w:p>
    <w:p>
      <w:pPr>
        <w:pStyle w:val="a3"/>
        <w:ind w:left="0" w:firstLine="709"/>
        <w:jc w:val="left"/>
      </w:pPr>
    </w:p>
    <w:p>
      <w:pPr>
        <w:pStyle w:val="a5"/>
        <w:numPr>
          <w:ilvl w:val="1"/>
          <w:numId w:val="5"/>
        </w:numPr>
        <w:ind w:firstLine="607"/>
        <w:rPr>
          <w:sz w:val="28"/>
          <w:szCs w:val="28"/>
          <w:lang w:eastAsia="ru-RU"/>
        </w:rPr>
      </w:pPr>
      <w:r>
        <w:rPr>
          <w:sz w:val="28"/>
          <w:szCs w:val="28"/>
        </w:rPr>
        <w:t>Настоящий Порядок устанавливает цели, условия и порядок предоставления из бюджета Республики Татарстан грантов «</w:t>
      </w:r>
      <w:proofErr w:type="spellStart"/>
      <w:r>
        <w:rPr>
          <w:sz w:val="28"/>
          <w:szCs w:val="28"/>
        </w:rPr>
        <w:t>Агротуризм</w:t>
      </w:r>
      <w:proofErr w:type="spellEnd"/>
      <w:r>
        <w:rPr>
          <w:sz w:val="28"/>
          <w:szCs w:val="28"/>
        </w:rPr>
        <w:t xml:space="preserve">» на финансовое обеспечение затрат, связанных с реализацией проектов развития сельского туризма,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из федерального бюджета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в целях развития субъектов малого и среднего предпринимательства в сфере сельского хозяйства (далее соответственно – грант).</w:t>
      </w:r>
    </w:p>
    <w:p>
      <w:pPr>
        <w:pStyle w:val="a5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Гранты предоставляются сельскохозяйственным товаропроизводителям (за исключением личных подсобных хозяйств), относящимся к категории «малое предприятие» или «</w:t>
      </w:r>
      <w:proofErr w:type="spellStart"/>
      <w:r>
        <w:rPr>
          <w:sz w:val="28"/>
          <w:szCs w:val="28"/>
          <w:lang w:eastAsia="ru-RU"/>
        </w:rPr>
        <w:t>микропредприятие</w:t>
      </w:r>
      <w:proofErr w:type="spellEnd"/>
      <w:r>
        <w:rPr>
          <w:sz w:val="28"/>
          <w:szCs w:val="28"/>
          <w:lang w:eastAsia="ru-RU"/>
        </w:rPr>
        <w:t xml:space="preserve">» в соответствии с Федеральным законом «О развитии малого и среднего предпринимательства в Российской Федерации», зарегистрированным и осуществляющим деятельность на сельских территориях или на территориях сельских агломераций Республики Татарстан проекты развития сельского туризма которых </w:t>
      </w:r>
      <w:r>
        <w:rPr>
          <w:sz w:val="28"/>
          <w:szCs w:val="28"/>
        </w:rPr>
        <w:t xml:space="preserve">прошли конкурсный отбор в Министерстве сельского хозяйства Российской Федерации в порядке, утвержденном приказом Министерства сельского хозяйства Российской Федерации от 10 февраля  2022  г. № 68 «Об утверждении порядка проведения конкурсного отбора проектов развития сельского туризма, формы проекта развития сельского туризма, перечня документов для участия в конкурсном отборе проектов развития сельского туризма, требований к ним и форм их представления, требований к заявителям для участия в конкурсном отборе проектов развития сельского туризма, а также случаев и порядка внесения изменений в проект развития сельского туризма» </w:t>
      </w:r>
      <w:r>
        <w:rPr>
          <w:sz w:val="28"/>
          <w:szCs w:val="28"/>
          <w:lang w:eastAsia="ru-RU"/>
        </w:rPr>
        <w:t>(далее соответственно – участники отбора</w:t>
      </w:r>
      <w:r>
        <w:rPr>
          <w:sz w:val="28"/>
          <w:szCs w:val="28"/>
        </w:rPr>
        <w:t>, Минсельхоз России, приказ Минсельхоза России</w:t>
      </w:r>
      <w:r>
        <w:rPr>
          <w:sz w:val="28"/>
          <w:szCs w:val="28"/>
          <w:lang w:eastAsia="ru-RU"/>
        </w:rPr>
        <w:t>).</w:t>
      </w:r>
    </w:p>
    <w:p>
      <w:pPr>
        <w:pStyle w:val="a5"/>
        <w:numPr>
          <w:ilvl w:val="1"/>
          <w:numId w:val="5"/>
        </w:numPr>
        <w:tabs>
          <w:tab w:val="left" w:pos="14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понятия:</w:t>
      </w:r>
    </w:p>
    <w:p>
      <w:pPr>
        <w:pStyle w:val="a3"/>
        <w:ind w:left="0" w:firstLine="709"/>
      </w:pPr>
      <w:r>
        <w:t xml:space="preserve"> «плановые показатели деятельности» - производственные</w:t>
      </w:r>
      <w:r>
        <w:rPr>
          <w:spacing w:val="-68"/>
        </w:rPr>
        <w:t xml:space="preserve"> </w:t>
      </w:r>
      <w:r>
        <w:t>и экономические показатели, включаемые в проект развития сельского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сельскохозяйственной продукции, выраженный в      натуральных</w:t>
      </w:r>
      <w:r>
        <w:rPr>
          <w:spacing w:val="-67"/>
        </w:rPr>
        <w:t xml:space="preserve"> </w:t>
      </w:r>
      <w:r>
        <w:t xml:space="preserve">и денежных показателях, объем дохода, полученного в рамках </w:t>
      </w:r>
      <w:proofErr w:type="gramStart"/>
      <w:r>
        <w:t xml:space="preserve">реализации </w:t>
      </w:r>
      <w:r>
        <w:rPr>
          <w:spacing w:val="-67"/>
        </w:rPr>
        <w:t xml:space="preserve"> </w:t>
      </w:r>
      <w:r>
        <w:t>проекта</w:t>
      </w:r>
      <w:proofErr w:type="gramEnd"/>
      <w:r>
        <w:t xml:space="preserve"> сельского туризма, плановое количество туристов, посетивших</w:t>
      </w:r>
      <w:r>
        <w:rPr>
          <w:spacing w:val="1"/>
        </w:rPr>
        <w:t xml:space="preserve"> </w:t>
      </w:r>
      <w:r>
        <w:t>объекты сельского туризма  участников отбора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lastRenderedPageBreak/>
        <w:t>проектом</w:t>
      </w:r>
      <w:r>
        <w:rPr>
          <w:spacing w:val="1"/>
        </w:rPr>
        <w:t xml:space="preserve"> </w:t>
      </w:r>
      <w:r>
        <w:t>развития сельского туризма;</w:t>
      </w:r>
    </w:p>
    <w:p>
      <w:pPr>
        <w:pStyle w:val="a3"/>
        <w:ind w:left="0" w:firstLine="709"/>
      </w:pPr>
      <w:r>
        <w:t>«проект развития сельского туризма» - документ (бизнес-план),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Минсельхозом</w:t>
      </w:r>
      <w:r>
        <w:t xml:space="preserve"> России,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гранта,</w:t>
      </w:r>
      <w:r>
        <w:rPr>
          <w:spacing w:val="1"/>
        </w:rPr>
        <w:t xml:space="preserve"> </w:t>
      </w:r>
      <w:r>
        <w:t>финансово-</w:t>
      </w:r>
      <w:r>
        <w:rPr>
          <w:spacing w:val="-67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обоснование,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окупаемости</w:t>
      </w:r>
      <w:r>
        <w:rPr>
          <w:spacing w:val="1"/>
        </w:rPr>
        <w:t xml:space="preserve"> </w:t>
      </w:r>
      <w:r>
        <w:t>проекта развития сельского туризма, не превышающий 5 лет, плановые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гранта получателю средств.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определяются Минсельхозом России;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«сельские территории» –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городских округов, на территории которых находятся административные центры Республики Татарстан). Перечень сельских территории утвержден приказом Министерства сельского хозяйства и продовольствия Республики Татарстан (далее- Министерство) от 05.03.2020 № 48/2-пр «Об утверждении перечня сельских территорий Республики Татарстан и перечня сельских агломераций Республики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«сельские агломерации» – сельские территории, а также поселки городского типа и малые города с численностью населения, постоянно проживающего на их территории, не превышающей 30 тыс. человек. Перечень сельских агломераций утвержден приказом Министерства от 05.03.2020 № 48/2-пр «Об утверждении перечня сельских территорий»;</w:t>
      </w:r>
    </w:p>
    <w:p>
      <w:pPr>
        <w:pStyle w:val="a3"/>
        <w:ind w:left="0" w:firstLine="709"/>
      </w:pPr>
      <w:r>
        <w:t>«срок</w:t>
      </w:r>
      <w:r>
        <w:rPr>
          <w:spacing w:val="1"/>
        </w:rPr>
        <w:t xml:space="preserve"> </w:t>
      </w:r>
      <w:r>
        <w:t>окупаемости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туризма»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потока,</w:t>
      </w:r>
      <w:r>
        <w:rPr>
          <w:spacing w:val="1"/>
        </w:rPr>
        <w:t xml:space="preserve"> </w:t>
      </w:r>
      <w:r>
        <w:t>генерируемого</w:t>
      </w:r>
      <w:r>
        <w:rPr>
          <w:spacing w:val="1"/>
        </w:rPr>
        <w:t xml:space="preserve"> </w:t>
      </w:r>
      <w:r>
        <w:t>проектом развития сельского туризма, превысит сумму вложенных в него</w:t>
      </w:r>
      <w:r>
        <w:rPr>
          <w:spacing w:val="1"/>
        </w:rPr>
        <w:t xml:space="preserve"> </w:t>
      </w:r>
      <w:r>
        <w:t>средств.</w:t>
      </w:r>
    </w:p>
    <w:p>
      <w:pPr>
        <w:pStyle w:val="a5"/>
        <w:numPr>
          <w:ilvl w:val="1"/>
          <w:numId w:val="5"/>
        </w:numPr>
        <w:tabs>
          <w:tab w:val="left" w:pos="140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Предоставление грантов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 (далее - Министерство) как до получателя бюджетных средств на цели, указанные в пункте 1.1 настоящего Порядка.</w:t>
      </w:r>
    </w:p>
    <w:p>
      <w:pPr>
        <w:pStyle w:val="a3"/>
        <w:ind w:left="0" w:firstLine="709"/>
      </w:pPr>
      <w:r>
        <w:t>1.5. Получатели грантов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отборе, исходя из соответствия участников отбора критериям отбора и очередности поступления заявок (далее соответственно – грантополучатель, заявка).</w:t>
      </w:r>
    </w:p>
    <w:p>
      <w:pPr>
        <w:pStyle w:val="a3"/>
        <w:ind w:left="0" w:firstLine="709"/>
      </w:pPr>
      <w:r>
        <w:t>1.6. Сведения о гранте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при формировании проекта закона о бюджете Республики Татарстан на соответствующий финансовый год и плановый период (проекта закона о внесении изменений в закон о бюджете Республики Татарстан на соответствующий финансовый год и плановый период).</w:t>
      </w:r>
    </w:p>
    <w:p>
      <w:pPr>
        <w:pStyle w:val="a3"/>
        <w:ind w:left="0" w:firstLine="709"/>
        <w:jc w:val="center"/>
      </w:pPr>
      <w:r>
        <w:rPr>
          <w:lang w:val="en-US"/>
        </w:rPr>
        <w:lastRenderedPageBreak/>
        <w:t>II</w:t>
      </w:r>
      <w:r>
        <w:t xml:space="preserve">. Порядок проведения отбора </w:t>
      </w:r>
      <w:proofErr w:type="spellStart"/>
      <w:r>
        <w:t>грантополучателей</w:t>
      </w:r>
      <w:proofErr w:type="spellEnd"/>
    </w:p>
    <w:p>
      <w:pPr>
        <w:pStyle w:val="a3"/>
        <w:ind w:left="0" w:firstLine="709"/>
        <w:jc w:val="center"/>
      </w:pPr>
    </w:p>
    <w:p>
      <w:pPr>
        <w:pStyle w:val="a3"/>
        <w:ind w:left="0" w:firstLine="709"/>
      </w:pPr>
      <w:r>
        <w:t>2.1. Министерство</w:t>
      </w:r>
      <w:r>
        <w:rPr>
          <w:spacing w:val="7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на едином портале и на своем официальном сайте https://agro.tatarstan.ru в информационно-телекоммуникационной сети «Интернет»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pStyle w:val="a3"/>
        <w:ind w:firstLine="709"/>
      </w:pPr>
      <w:r>
        <w:t>сроков проведения отбора;</w:t>
      </w:r>
    </w:p>
    <w:p>
      <w:pPr>
        <w:pStyle w:val="a3"/>
        <w:ind w:firstLine="709"/>
      </w:pPr>
      <w: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>
      <w:pPr>
        <w:pStyle w:val="a3"/>
        <w:ind w:left="0" w:firstLine="709"/>
      </w:pPr>
      <w:r>
        <w:t>наименования, места нахождения, почтового адреса, адреса электронной почты Министерства;</w:t>
      </w:r>
    </w:p>
    <w:p>
      <w:pPr>
        <w:pStyle w:val="a3"/>
        <w:ind w:left="0" w:firstLine="709"/>
      </w:pPr>
      <w:r>
        <w:t>результата предоставления гранта, указанного в</w:t>
      </w:r>
      <w:r>
        <w:rPr>
          <w:spacing w:val="1"/>
        </w:rPr>
        <w:t xml:space="preserve"> </w:t>
      </w:r>
      <w:r>
        <w:t>пункте 4.1. настоящего</w:t>
      </w:r>
      <w:r>
        <w:rPr>
          <w:spacing w:val="1"/>
        </w:rPr>
        <w:t xml:space="preserve"> </w:t>
      </w:r>
      <w:r>
        <w:t>Порядка;</w:t>
      </w:r>
    </w:p>
    <w:p>
      <w:pPr>
        <w:pStyle w:val="a3"/>
        <w:ind w:left="0" w:firstLine="709"/>
      </w:pPr>
      <w:r>
        <w:t>доменного имени, и (или) сетевого адреса, и (или) указателей</w:t>
      </w:r>
      <w:r>
        <w:rPr>
          <w:spacing w:val="1"/>
        </w:rPr>
        <w:t xml:space="preserve"> </w:t>
      </w:r>
      <w:r>
        <w:t>страниц сайта в информационно-телекоммуникационной сети Интернет,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обеспечивается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отбора;</w:t>
      </w:r>
    </w:p>
    <w:p>
      <w:pPr>
        <w:pStyle w:val="a3"/>
        <w:ind w:left="0" w:firstLine="709"/>
      </w:pPr>
      <w:r>
        <w:t>требований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участникам</w:t>
      </w:r>
      <w:r>
        <w:rPr>
          <w:spacing w:val="18"/>
        </w:rPr>
        <w:t xml:space="preserve"> </w:t>
      </w:r>
      <w:r>
        <w:t>отбора,</w:t>
      </w:r>
      <w:r>
        <w:rPr>
          <w:spacing w:val="21"/>
        </w:rPr>
        <w:t xml:space="preserve"> </w:t>
      </w:r>
      <w:r>
        <w:t>установленных</w:t>
      </w:r>
      <w:r>
        <w:rPr>
          <w:spacing w:val="27"/>
        </w:rPr>
        <w:t xml:space="preserve"> </w:t>
      </w:r>
      <w:hyperlink r:id="rId8">
        <w:r>
          <w:t>пунктами</w:t>
        </w:r>
        <w:r>
          <w:rPr>
            <w:spacing w:val="21"/>
          </w:rPr>
          <w:t xml:space="preserve"> </w:t>
        </w:r>
        <w:r>
          <w:t>2.2</w:t>
        </w:r>
        <w:r>
          <w:rPr>
            <w:spacing w:val="23"/>
          </w:rPr>
          <w:t xml:space="preserve"> </w:t>
        </w:r>
      </w:hyperlink>
      <w:r>
        <w:t>настоящего Порядка, и перечня документов, представляемых участниками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требованиям;</w:t>
      </w:r>
    </w:p>
    <w:p>
      <w:pPr>
        <w:pStyle w:val="a3"/>
        <w:ind w:left="0" w:firstLine="709"/>
      </w:pPr>
      <w:r>
        <w:t>порядка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71"/>
        </w:rPr>
        <w:t xml:space="preserve"> </w:t>
      </w:r>
      <w:r>
        <w:t xml:space="preserve">заявок, в соответствии с </w:t>
      </w:r>
      <w:hyperlink w:anchor="_bookmark0" w:history="1">
        <w:r>
          <w:t>пунктом 2.</w:t>
        </w:r>
      </w:hyperlink>
      <w:r>
        <w:t>4</w:t>
      </w:r>
      <w:r>
        <w:rPr>
          <w:spacing w:val="1"/>
        </w:rPr>
        <w:t xml:space="preserve"> </w:t>
      </w:r>
      <w:r>
        <w:t>настоящего Порядка;</w:t>
      </w:r>
    </w:p>
    <w:p>
      <w:pPr>
        <w:pStyle w:val="a3"/>
        <w:ind w:left="0" w:firstLine="709"/>
      </w:pPr>
      <w:r>
        <w:t>порядка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заявок,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proofErr w:type="gramStart"/>
      <w:r>
        <w:t>заявок,</w:t>
      </w:r>
      <w:r>
        <w:rPr>
          <w:spacing w:val="-67"/>
        </w:rPr>
        <w:t xml:space="preserve">  </w:t>
      </w:r>
      <w:r>
        <w:t>определяющего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возврата</w:t>
      </w:r>
      <w:r>
        <w:rPr>
          <w:spacing w:val="71"/>
        </w:rPr>
        <w:t xml:space="preserve"> </w:t>
      </w:r>
      <w:r>
        <w:t>заявок, порядка внесения изменений в предложения</w:t>
      </w:r>
      <w:r>
        <w:rPr>
          <w:spacing w:val="1"/>
        </w:rPr>
        <w:t xml:space="preserve"> </w:t>
      </w:r>
      <w:r>
        <w:t>(заявки)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отбора;</w:t>
      </w:r>
    </w:p>
    <w:p>
      <w:pPr>
        <w:pStyle w:val="a3"/>
        <w:ind w:left="0" w:firstLine="709"/>
      </w:pPr>
      <w:r>
        <w:t>правил рассмотрения заявок участников</w:t>
      </w:r>
      <w:r>
        <w:rPr>
          <w:spacing w:val="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разделом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 Порядка;</w:t>
      </w:r>
    </w:p>
    <w:p>
      <w:pPr>
        <w:pStyle w:val="a3"/>
        <w:ind w:left="0" w:firstLine="709"/>
      </w:pP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разъяснений</w:t>
      </w:r>
      <w:r>
        <w:rPr>
          <w:spacing w:val="-67"/>
        </w:rPr>
        <w:t xml:space="preserve"> </w:t>
      </w:r>
      <w:r>
        <w:t>положений объявления о проведении отбора, даты начала и 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предоставления;</w:t>
      </w:r>
    </w:p>
    <w:p>
      <w:pPr>
        <w:pStyle w:val="a3"/>
        <w:ind w:left="0" w:firstLine="709"/>
      </w:pPr>
      <w:r>
        <w:t>срока,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(победители)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(должны) </w:t>
      </w:r>
      <w:r>
        <w:t>подписать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гранта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соглашение);</w:t>
      </w:r>
    </w:p>
    <w:p>
      <w:pPr>
        <w:pStyle w:val="a3"/>
        <w:ind w:left="0" w:firstLine="709"/>
      </w:pP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(победителей)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уклонившимся (уклонившимися)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заключения соглашения;</w:t>
      </w:r>
    </w:p>
    <w:p>
      <w:pPr>
        <w:pStyle w:val="a3"/>
        <w:ind w:left="0" w:firstLine="709"/>
      </w:pPr>
      <w:r>
        <w:t>даты размещения результатов отбора на едином портале и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pStyle w:val="a3"/>
        <w:ind w:left="0" w:firstLine="709"/>
      </w:pPr>
      <w:r>
        <w:t xml:space="preserve">2.2. Участник отбора на дату, не превышающую 15 рабочих дней до даты подачи заявки, должен соответствовать следующим требованиям: </w:t>
      </w:r>
    </w:p>
    <w:p>
      <w:pPr>
        <w:pStyle w:val="a3"/>
        <w:ind w:firstLine="709"/>
      </w:pPr>
      <w: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>
      <w:pPr>
        <w:pStyle w:val="a3"/>
        <w:ind w:firstLine="709"/>
      </w:pPr>
      <w: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</w:t>
      </w:r>
      <w:r>
        <w:lastRenderedPageBreak/>
        <w:t>(нерегулированной) задолженности по денежным обязательствам перед Республикой Татарстан;</w:t>
      </w:r>
    </w:p>
    <w:p>
      <w:pPr>
        <w:pStyle w:val="a3"/>
        <w:ind w:firstLine="709"/>
      </w:pPr>
      <w: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pStyle w:val="a3"/>
        <w:ind w:firstLine="709"/>
      </w:pPr>
      <w: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a3"/>
        <w:ind w:left="0" w:firstLine="709"/>
      </w:pPr>
      <w: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1.1. настоящего Порядка. </w:t>
      </w:r>
    </w:p>
    <w:p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2022 году участник отбора не должен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 </w:t>
      </w:r>
    </w:p>
    <w:p>
      <w:pPr>
        <w:pStyle w:val="a3"/>
        <w:ind w:left="0" w:firstLine="709"/>
      </w:pPr>
      <w:r>
        <w:t xml:space="preserve">2.3. Критериями отбора </w:t>
      </w:r>
      <w:proofErr w:type="spellStart"/>
      <w:r>
        <w:t>грантополучателей</w:t>
      </w:r>
      <w:proofErr w:type="spellEnd"/>
      <w:r>
        <w:t xml:space="preserve"> являются:</w:t>
      </w:r>
    </w:p>
    <w:p>
      <w:pPr>
        <w:pStyle w:val="a3"/>
        <w:ind w:left="0" w:firstLine="709"/>
      </w:pPr>
      <w:r>
        <w:t>ведение деятельности на сельской территории или на территории сельской агломерации муниципального района Республики Татарстан и уплата налогов в бюджет Республики Татарстан;</w:t>
      </w:r>
    </w:p>
    <w:p>
      <w:pPr>
        <w:pStyle w:val="a3"/>
        <w:ind w:left="0" w:firstLine="709"/>
      </w:pPr>
      <w:r>
        <w:t>осуществление основного вида деятельности, соответствующего кодам классов 01 «Растениеводство</w:t>
      </w:r>
      <w:r>
        <w:rPr>
          <w:spacing w:val="-68"/>
        </w:rPr>
        <w:t xml:space="preserve"> </w:t>
      </w:r>
      <w:r>
        <w:t>и животноводство, охота и предоставление соответствующих услуг в этих</w:t>
      </w:r>
      <w:r>
        <w:rPr>
          <w:spacing w:val="1"/>
        </w:rPr>
        <w:t xml:space="preserve"> </w:t>
      </w:r>
      <w:r>
        <w:t>областях»,</w:t>
      </w:r>
      <w:r>
        <w:rPr>
          <w:spacing w:val="13"/>
        </w:rPr>
        <w:t xml:space="preserve"> </w:t>
      </w:r>
      <w:r>
        <w:t>03</w:t>
      </w:r>
      <w:r>
        <w:rPr>
          <w:spacing w:val="69"/>
        </w:rPr>
        <w:t xml:space="preserve"> </w:t>
      </w:r>
      <w:r>
        <w:t>«Рыболовство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рыбоводство»</w:t>
      </w:r>
      <w:r>
        <w:rPr>
          <w:spacing w:val="22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11"/>
        </w:rPr>
        <w:t xml:space="preserve"> </w:t>
      </w:r>
      <w:r>
        <w:t>группе</w:t>
      </w:r>
      <w:r>
        <w:rPr>
          <w:spacing w:val="16"/>
        </w:rPr>
        <w:t xml:space="preserve"> </w:t>
      </w:r>
      <w:r>
        <w:t xml:space="preserve">11.02 </w:t>
      </w:r>
      <w:r>
        <w:rPr>
          <w:spacing w:val="-1"/>
        </w:rPr>
        <w:t xml:space="preserve">«Производство вина и винограда» Общероссийского классификатора </w:t>
      </w:r>
      <w:r>
        <w:t>видов</w:t>
      </w:r>
      <w:r>
        <w:rPr>
          <w:spacing w:val="1"/>
        </w:rPr>
        <w:t xml:space="preserve"> </w:t>
      </w:r>
      <w:r>
        <w:rPr>
          <w:w w:val="95"/>
        </w:rPr>
        <w:t>экономической</w:t>
      </w:r>
      <w:r>
        <w:rPr>
          <w:spacing w:val="63"/>
        </w:rPr>
        <w:t xml:space="preserve"> </w:t>
      </w:r>
      <w:r>
        <w:rPr>
          <w:w w:val="95"/>
        </w:rPr>
        <w:t>деятельности</w:t>
      </w:r>
      <w:r>
        <w:rPr>
          <w:spacing w:val="63"/>
        </w:rPr>
        <w:t xml:space="preserve"> </w:t>
      </w:r>
      <w:r>
        <w:rPr>
          <w:w w:val="95"/>
        </w:rPr>
        <w:t xml:space="preserve">ОК 029-2014 (КДЕС Ред. 2)                          (далее - ОКВЭД) </w:t>
      </w:r>
      <w:r>
        <w:t xml:space="preserve">В случае если заявителем является сельскохозяйственный потребительский кооператив (кроме сельскохозяйственного потребительского кредитного </w:t>
      </w:r>
      <w:r>
        <w:lastRenderedPageBreak/>
        <w:t>кооператива), допускается наличие основного вида деятельности, соответствующего кодам Раздела 10 ОКВЭД «Производство пищевых продуктов»;</w:t>
      </w:r>
    </w:p>
    <w:p>
      <w:pPr>
        <w:pStyle w:val="a3"/>
        <w:ind w:left="0" w:firstLine="709"/>
      </w:pPr>
      <w:r>
        <w:t>наличие обязательства об осуществлении деятельности в течение не менее пяти лет на сельской территории или на территории сельской агломерации со дня получения гранта и достижении показателей деятельности, предусмотренных проектом развития сельского туризма.</w:t>
      </w:r>
    </w:p>
    <w:p>
      <w:pPr>
        <w:tabs>
          <w:tab w:val="left" w:pos="1464"/>
          <w:tab w:val="left" w:pos="1465"/>
          <w:tab w:val="left" w:pos="2157"/>
          <w:tab w:val="left" w:pos="3316"/>
          <w:tab w:val="left" w:pos="3680"/>
          <w:tab w:val="left" w:pos="4726"/>
          <w:tab w:val="left" w:pos="6045"/>
          <w:tab w:val="left" w:pos="7085"/>
          <w:tab w:val="left" w:pos="8892"/>
        </w:tabs>
        <w:ind w:firstLine="568"/>
        <w:rPr>
          <w:sz w:val="28"/>
          <w:szCs w:val="28"/>
        </w:rPr>
      </w:pPr>
      <w:bookmarkStart w:id="1" w:name="_bookmark0"/>
      <w:bookmarkEnd w:id="1"/>
      <w:r>
        <w:rPr>
          <w:sz w:val="28"/>
          <w:szCs w:val="28"/>
        </w:rPr>
        <w:t xml:space="preserve">2.4. Для участия в отборе на получение гранта участник отбора представляет </w:t>
      </w:r>
      <w:r>
        <w:rPr>
          <w:spacing w:val="-1"/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   </w:t>
      </w:r>
      <w:r>
        <w:rPr>
          <w:sz w:val="28"/>
          <w:szCs w:val="28"/>
        </w:rPr>
        <w:t>Министерство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документы:</w:t>
      </w:r>
    </w:p>
    <w:p>
      <w:pPr>
        <w:pStyle w:val="a3"/>
        <w:ind w:left="0" w:firstLine="709"/>
      </w:pPr>
      <w:r>
        <w:t>заявку по</w:t>
      </w:r>
      <w:r>
        <w:rPr>
          <w:spacing w:val="-1"/>
        </w:rPr>
        <w:t xml:space="preserve"> </w:t>
      </w:r>
      <w:r>
        <w:t>форме, утвержденной приказом Министерства, с указанием своих платежных реквизитов и почтового адреса, содержащую информацию о том, что участник отбора соответствует требованиям пункта 2.2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 с приложением заявочной документации  направленной для участия в конкурсном отборе проекта 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 в Минсельхоз России в соответствии с перечнем указанным в подпунктах 5-13 пункта 7 приказа Минсельхоза России.</w:t>
      </w:r>
    </w:p>
    <w:p>
      <w:pPr>
        <w:pStyle w:val="a3"/>
        <w:ind w:left="0" w:firstLine="709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  </w:t>
      </w:r>
      <w:r>
        <w:t>несут участники отбора.</w:t>
      </w:r>
    </w:p>
    <w:p>
      <w:pPr>
        <w:pStyle w:val="a5"/>
        <w:tabs>
          <w:tab w:val="left" w:pos="13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>
      <w:pPr>
        <w:ind w:left="568"/>
        <w:rPr>
          <w:sz w:val="28"/>
          <w:szCs w:val="28"/>
        </w:rPr>
      </w:pPr>
      <w:r>
        <w:rPr>
          <w:sz w:val="28"/>
          <w:szCs w:val="28"/>
        </w:rPr>
        <w:t>2.6. Министерство: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 приема заявок, установленного в объявлении о проведении отбора, регистрирует заявки с указанием даты и времени в день их поступления в информационной системе «Агропромышленный комплекс Республики Татарстан»;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и утверждает реестр о результатах отбора (о прохождении отбора либо об отклонении заявки) по форме, утвержденной приказом Министерства;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</w:t>
      </w:r>
      <w:hyperlink r:id="rId9" w:history="1">
        <w:r>
          <w:rPr>
            <w:rStyle w:val="aa"/>
            <w:color w:val="auto"/>
            <w:sz w:val="28"/>
            <w:szCs w:val="28"/>
          </w:rPr>
          <w:t>едином портале</w:t>
        </w:r>
      </w:hyperlink>
      <w:r>
        <w:rPr>
          <w:sz w:val="28"/>
          <w:szCs w:val="28"/>
        </w:rPr>
        <w:t xml:space="preserve"> и </w:t>
      </w:r>
      <w:hyperlink r:id="rId10" w:history="1">
        <w:r>
          <w:rPr>
            <w:rStyle w:val="aa"/>
            <w:color w:val="auto"/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 и место проведения рассмотрения заявок;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участниках отбора, заявки которых были рассмотрены;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победителя (победителей) отбора, с которыми заключаются соглашения, и размер предоставляемой им субсидии.</w:t>
      </w:r>
    </w:p>
    <w:p>
      <w:pPr>
        <w:tabs>
          <w:tab w:val="left" w:pos="1391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7.Основаниями</w:t>
      </w:r>
      <w:proofErr w:type="gram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отклонения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заявки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стадии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заявок </w:t>
      </w:r>
      <w:r>
        <w:rPr>
          <w:sz w:val="28"/>
          <w:szCs w:val="28"/>
        </w:rPr>
        <w:lastRenderedPageBreak/>
        <w:t>являются:</w:t>
      </w:r>
    </w:p>
    <w:p>
      <w:pPr>
        <w:pStyle w:val="a3"/>
        <w:ind w:left="0" w:firstLine="709"/>
        <w:jc w:val="left"/>
      </w:pPr>
      <w:r>
        <w:t>несоответствие</w:t>
      </w:r>
      <w:r>
        <w:rPr>
          <w:spacing w:val="63"/>
        </w:rPr>
        <w:t xml:space="preserve"> </w:t>
      </w:r>
      <w:r>
        <w:t>участника</w:t>
      </w:r>
      <w:r>
        <w:rPr>
          <w:spacing w:val="61"/>
        </w:rPr>
        <w:t xml:space="preserve"> </w:t>
      </w:r>
      <w:r>
        <w:t>отбора</w:t>
      </w:r>
      <w:r>
        <w:rPr>
          <w:spacing w:val="62"/>
        </w:rPr>
        <w:t xml:space="preserve"> </w:t>
      </w:r>
      <w:r>
        <w:t>требованиям,</w:t>
      </w:r>
      <w:r>
        <w:rPr>
          <w:spacing w:val="63"/>
        </w:rPr>
        <w:t xml:space="preserve"> </w:t>
      </w:r>
      <w:r>
        <w:t>установленным</w:t>
      </w:r>
      <w:r>
        <w:rPr>
          <w:spacing w:val="-67"/>
        </w:rPr>
        <w:t xml:space="preserve"> </w:t>
      </w:r>
      <w:hyperlink r:id="rId11">
        <w:r>
          <w:t>пунктами</w:t>
        </w:r>
        <w:r>
          <w:rPr>
            <w:spacing w:val="-4"/>
          </w:rPr>
          <w:t xml:space="preserve"> </w:t>
        </w:r>
        <w:r>
          <w:t>2.2.</w:t>
        </w:r>
        <w:r>
          <w:rPr>
            <w:spacing w:val="1"/>
          </w:rPr>
          <w:t xml:space="preserve"> 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>Порядка;</w:t>
      </w:r>
    </w:p>
    <w:p>
      <w:pPr>
        <w:pStyle w:val="a3"/>
        <w:ind w:left="0" w:firstLine="709"/>
      </w:pPr>
      <w:r>
        <w:t>несоответствие представленных участником отбора заявок и документов требованиям к заявкам,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 отбора;</w:t>
      </w:r>
    </w:p>
    <w:p>
      <w:pPr>
        <w:pStyle w:val="a3"/>
        <w:ind w:left="0" w:firstLine="709"/>
      </w:pPr>
      <w:r>
        <w:t>недостоверность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отбора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юридического лица;</w:t>
      </w:r>
    </w:p>
    <w:p>
      <w:pPr>
        <w:pStyle w:val="a3"/>
        <w:ind w:left="0" w:firstLine="709"/>
      </w:pPr>
      <w:r>
        <w:t>подача участником отбора заявки после даты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заявок.</w:t>
      </w:r>
    </w:p>
    <w:p>
      <w:pPr>
        <w:pStyle w:val="a3"/>
        <w:ind w:left="0" w:firstLine="709"/>
        <w:jc w:val="left"/>
      </w:pPr>
    </w:p>
    <w:p>
      <w:pPr>
        <w:tabs>
          <w:tab w:val="left" w:pos="196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Условия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гранта</w:t>
      </w:r>
    </w:p>
    <w:p>
      <w:pPr>
        <w:pStyle w:val="a3"/>
        <w:ind w:left="0" w:firstLine="709"/>
        <w:jc w:val="left"/>
      </w:pPr>
    </w:p>
    <w:p>
      <w:pPr>
        <w:pStyle w:val="a5"/>
        <w:numPr>
          <w:ilvl w:val="1"/>
          <w:numId w:val="3"/>
        </w:numPr>
        <w:tabs>
          <w:tab w:val="left" w:pos="144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Грант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грантополучателю</w:t>
      </w:r>
      <w:proofErr w:type="spellEnd"/>
      <w:r>
        <w:rPr>
          <w:sz w:val="28"/>
          <w:szCs w:val="28"/>
        </w:rPr>
        <w:t xml:space="preserve"> с учетом 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условий:</w:t>
      </w:r>
    </w:p>
    <w:p>
      <w:pPr>
        <w:pStyle w:val="a3"/>
        <w:ind w:left="0" w:firstLine="709"/>
      </w:pPr>
      <w:r>
        <w:t>а) срок освоения средств гранта составляет не более</w:t>
      </w:r>
      <w:r>
        <w:rPr>
          <w:spacing w:val="1"/>
        </w:rPr>
        <w:t xml:space="preserve"> </w:t>
      </w:r>
      <w:r>
        <w:t>18 месяцев со дня получения указанных средств. В случае наступления</w:t>
      </w:r>
      <w:r>
        <w:rPr>
          <w:spacing w:val="1"/>
        </w:rPr>
        <w:t xml:space="preserve"> </w:t>
      </w:r>
      <w:r>
        <w:t>обстоятельств непреодолимой силы, препятствующих освоению средств</w:t>
      </w:r>
      <w:r>
        <w:rPr>
          <w:spacing w:val="1"/>
        </w:rPr>
        <w:t xml:space="preserve"> </w:t>
      </w:r>
      <w:r>
        <w:t>гранта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гранта по заявлению грантополучателя может быть продлен Министерством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6 месяцев,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Министерством.</w:t>
      </w:r>
    </w:p>
    <w:p>
      <w:pPr>
        <w:pStyle w:val="a3"/>
        <w:ind w:firstLine="607"/>
      </w:pPr>
      <w:r>
        <w:t>Продление срока использования гранта, предоставленного в 2022 году, допускается на срок не более чем на 12 месяцев, в случаях и порядке, установленном Министерством. При этом продление срока использования гранта осуществляется в соответствии с заявлением грантополучателя, направленного в уполномоченный орган не позднее чем за 15 календарных дней до окончания срока использования гранта.</w:t>
      </w:r>
    </w:p>
    <w:p>
      <w:pPr>
        <w:pStyle w:val="a3"/>
        <w:ind w:firstLine="607"/>
      </w:pPr>
      <w:r>
        <w:t>В случае если грантополучателем в 2022 году допущены нарушения обязательств по достижению плановых показателей деятельности, предусмотренных проектом развития сельского туризма, срок исполнения которых наступает в 2022 году, меры ответственности за нарушение указанных обязательств применяются Министерством в установленном им порядке;</w:t>
      </w:r>
    </w:p>
    <w:p>
      <w:pPr>
        <w:pStyle w:val="a3"/>
        <w:ind w:firstLine="607"/>
      </w:pPr>
      <w:r>
        <w:t>б) отчуждение</w:t>
      </w:r>
      <w:r>
        <w:rPr>
          <w:spacing w:val="42"/>
        </w:rPr>
        <w:t xml:space="preserve"> </w:t>
      </w:r>
      <w:r>
        <w:t>имущества,</w:t>
      </w:r>
      <w:r>
        <w:rPr>
          <w:spacing w:val="42"/>
        </w:rPr>
        <w:t xml:space="preserve"> </w:t>
      </w:r>
      <w:r>
        <w:t>приобретенного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счет</w:t>
      </w:r>
      <w:r>
        <w:rPr>
          <w:spacing w:val="44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гранта, допускается только при согласовании с Минсельхозом 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proofErr w:type="spellStart"/>
      <w:r>
        <w:t>неухудшения</w:t>
      </w:r>
      <w:proofErr w:type="spellEnd"/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заключаемым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грантополучателем</w:t>
      </w:r>
      <w:r>
        <w:rPr>
          <w:spacing w:val="-1"/>
        </w:rPr>
        <w:t xml:space="preserve"> </w:t>
      </w:r>
      <w:r>
        <w:t>и Министерством;</w:t>
      </w:r>
    </w:p>
    <w:p>
      <w:pPr>
        <w:pStyle w:val="a3"/>
        <w:ind w:left="0" w:firstLine="607"/>
      </w:pPr>
      <w:r>
        <w:t>в) 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грантополучателя,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допускается;</w:t>
      </w:r>
    </w:p>
    <w:p>
      <w:pPr>
        <w:pStyle w:val="a3"/>
        <w:ind w:left="0" w:firstLine="607"/>
      </w:pPr>
      <w:r>
        <w:t>г) приобретение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гранта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proofErr w:type="gramStart"/>
      <w:r>
        <w:t>ранее</w:t>
      </w:r>
      <w:r>
        <w:rPr>
          <w:spacing w:val="-67"/>
        </w:rPr>
        <w:t xml:space="preserve">  </w:t>
      </w:r>
      <w:r>
        <w:t>приобретенного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>
      <w:pPr>
        <w:pStyle w:val="a5"/>
        <w:numPr>
          <w:ilvl w:val="1"/>
          <w:numId w:val="3"/>
        </w:numPr>
        <w:tabs>
          <w:tab w:val="left" w:pos="141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Грант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грантополучателю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 сельского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туризма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размере:</w:t>
      </w:r>
    </w:p>
    <w:p>
      <w:pPr>
        <w:pStyle w:val="a3"/>
        <w:ind w:left="0" w:firstLine="709"/>
      </w:pPr>
      <w:r>
        <w:t>до 3 млн рублей (включительно) - при направлении на 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грантополучателя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 не</w:t>
      </w:r>
      <w:r>
        <w:rPr>
          <w:spacing w:val="-1"/>
        </w:rPr>
        <w:t xml:space="preserve"> </w:t>
      </w:r>
      <w:r>
        <w:t>менее 10% его</w:t>
      </w:r>
      <w:r>
        <w:rPr>
          <w:spacing w:val="1"/>
        </w:rPr>
        <w:t xml:space="preserve"> </w:t>
      </w:r>
      <w:r>
        <w:t>стоимости;</w:t>
      </w:r>
    </w:p>
    <w:p>
      <w:pPr>
        <w:pStyle w:val="a3"/>
        <w:ind w:left="0" w:firstLine="709"/>
      </w:pPr>
      <w:r>
        <w:t>до 5 млн рублей (включительно) - при направлении на 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грантополучателя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 не</w:t>
      </w:r>
      <w:r>
        <w:rPr>
          <w:spacing w:val="-1"/>
        </w:rPr>
        <w:t xml:space="preserve"> </w:t>
      </w:r>
      <w:r>
        <w:t>менее 15% его</w:t>
      </w:r>
      <w:r>
        <w:rPr>
          <w:spacing w:val="1"/>
        </w:rPr>
        <w:t xml:space="preserve"> </w:t>
      </w:r>
      <w:r>
        <w:t>стоимости;</w:t>
      </w:r>
    </w:p>
    <w:p>
      <w:pPr>
        <w:pStyle w:val="a3"/>
        <w:ind w:left="0" w:firstLine="709"/>
      </w:pPr>
      <w:r>
        <w:lastRenderedPageBreak/>
        <w:t>до 8 млн рублей (включительно) - при направлении на 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грантополучателя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20%</w:t>
      </w:r>
      <w:r>
        <w:rPr>
          <w:spacing w:val="-2"/>
        </w:rPr>
        <w:t xml:space="preserve"> </w:t>
      </w:r>
      <w:r>
        <w:t>его стоимости;</w:t>
      </w:r>
    </w:p>
    <w:p>
      <w:pPr>
        <w:pStyle w:val="a3"/>
        <w:ind w:left="0" w:firstLine="709"/>
      </w:pPr>
      <w:r>
        <w:t>до 10 млн рублей (включительно) - при направлении на 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грантополучателя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 не</w:t>
      </w:r>
      <w:r>
        <w:rPr>
          <w:spacing w:val="-1"/>
        </w:rPr>
        <w:t xml:space="preserve"> </w:t>
      </w:r>
      <w:r>
        <w:t>менее 25% его</w:t>
      </w:r>
      <w:r>
        <w:rPr>
          <w:spacing w:val="1"/>
        </w:rPr>
        <w:t xml:space="preserve"> </w:t>
      </w:r>
      <w:r>
        <w:t>стоимости.</w:t>
      </w:r>
    </w:p>
    <w:p>
      <w:pPr>
        <w:pStyle w:val="a3"/>
        <w:ind w:firstLine="709"/>
      </w:pPr>
      <w:r>
        <w:t xml:space="preserve">Размер гранта, предоставляемого конкретному </w:t>
      </w:r>
      <w:proofErr w:type="spellStart"/>
      <w:r>
        <w:t>грантополучателю</w:t>
      </w:r>
      <w:proofErr w:type="spellEnd"/>
      <w:r>
        <w:t xml:space="preserve">, определяется комиссией по организации и проведению отбора проектов развития сельского туризма, формируемой Минсельхозом России (далее-комиссия) в зависимости от размера собственных </w:t>
      </w:r>
      <w:proofErr w:type="gramStart"/>
      <w:r>
        <w:t>средств  грантополучателя</w:t>
      </w:r>
      <w:proofErr w:type="gramEnd"/>
      <w:r>
        <w:t>, направленных на реализацию проекта развития сельского туризма.</w:t>
      </w:r>
    </w:p>
    <w:p>
      <w:pPr>
        <w:pStyle w:val="a3"/>
        <w:ind w:firstLine="709"/>
      </w:pPr>
      <w:r>
        <w:t xml:space="preserve">Грант конкретному </w:t>
      </w:r>
      <w:proofErr w:type="spellStart"/>
      <w:r>
        <w:t>грантополучателю</w:t>
      </w:r>
      <w:proofErr w:type="spellEnd"/>
      <w:r>
        <w:t xml:space="preserve"> предоставляется </w:t>
      </w:r>
      <w:proofErr w:type="gramStart"/>
      <w:r>
        <w:t>в размере</w:t>
      </w:r>
      <w:proofErr w:type="gramEnd"/>
      <w:r>
        <w:t xml:space="preserve"> утвержденном протоколом заседания комиссии опубликованном на официальном сайте Минсельхоза России в информационно-телекоммуникационной сети «Интернет».</w:t>
      </w:r>
    </w:p>
    <w:p>
      <w:pPr>
        <w:pStyle w:val="a3"/>
        <w:ind w:left="0" w:firstLine="709"/>
      </w:pPr>
      <w:r>
        <w:t xml:space="preserve">Если размер гранта, предоставляемого </w:t>
      </w:r>
      <w:proofErr w:type="spellStart"/>
      <w:r>
        <w:t>грантополучателю</w:t>
      </w:r>
      <w:proofErr w:type="spellEnd"/>
      <w:r>
        <w:t xml:space="preserve"> в соответствии с решением комиссии, меньше запрашиваемой в заявке суммы, грантополучатель вправе привлечь дополнительно внебюджетные средства в целях реализации проекта сельского туризма в полном объеме согласно бюджету, указанному в заявке, или отказаться от получения гранта, о чем должен проинформировать Министерство в течение 10 календарных дней со дня опубликования протокола заседания комиссии.</w:t>
      </w:r>
    </w:p>
    <w:p>
      <w:pPr>
        <w:pStyle w:val="a3"/>
        <w:ind w:left="0" w:firstLine="709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 Грант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 xml:space="preserve">однократно. </w:t>
      </w:r>
    </w:p>
    <w:p>
      <w:pPr>
        <w:pStyle w:val="a3"/>
        <w:numPr>
          <w:ilvl w:val="1"/>
          <w:numId w:val="3"/>
        </w:numPr>
        <w:ind w:left="0" w:firstLine="709"/>
      </w:pPr>
      <w:bookmarkStart w:id="2" w:name="_bookmark3"/>
      <w:bookmarkEnd w:id="2"/>
      <w:r>
        <w:t>Направлениями расходов, на финансовое обеспечение которых предоставляется грант, утверждён Приказом Минсельхоза России от 2 марта 2022 г. N 116 «Об утверждении перечня целевых направлений расходования гранта «</w:t>
      </w:r>
      <w:proofErr w:type="spellStart"/>
      <w:r>
        <w:t>Агротуризм</w:t>
      </w:r>
      <w:proofErr w:type="spellEnd"/>
      <w:r>
        <w:t>».</w:t>
      </w:r>
    </w:p>
    <w:p>
      <w:pPr>
        <w:pStyle w:val="a3"/>
        <w:ind w:left="0" w:firstLine="709"/>
      </w:pPr>
      <w:r>
        <w:t xml:space="preserve">3.4. Министерство в течение 15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заключает с </w:t>
      </w:r>
      <w:proofErr w:type="spellStart"/>
      <w:r>
        <w:t>грантополучателями</w:t>
      </w:r>
      <w:proofErr w:type="spellEnd"/>
      <w:r>
        <w:t xml:space="preserve"> соглашения в соответствии с типовой формой, установленной Министерством финансов Российской Федерации и принимает решение о предоставлении грантов.</w:t>
      </w:r>
    </w:p>
    <w:p>
      <w:pPr>
        <w:pStyle w:val="a3"/>
        <w:ind w:left="0" w:firstLine="709"/>
      </w:pPr>
      <w:r>
        <w:t>3.5. Соглашение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7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субсидий из федерального бюджета, в форме электронного документа в</w:t>
      </w:r>
      <w:r>
        <w:rPr>
          <w:spacing w:val="1"/>
        </w:rPr>
        <w:t xml:space="preserve"> </w:t>
      </w:r>
      <w:r>
        <w:t>государственной интегрированной информационной системе управления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28"/>
        </w:rPr>
        <w:t xml:space="preserve"> </w:t>
      </w:r>
      <w:r>
        <w:t>финансами</w:t>
      </w:r>
      <w:r>
        <w:rPr>
          <w:spacing w:val="29"/>
        </w:rPr>
        <w:t xml:space="preserve"> </w:t>
      </w:r>
      <w:r>
        <w:t>«Электронный</w:t>
      </w:r>
      <w:r>
        <w:rPr>
          <w:spacing w:val="28"/>
        </w:rPr>
        <w:t xml:space="preserve"> </w:t>
      </w:r>
      <w:r>
        <w:t>бюджет»</w:t>
      </w:r>
      <w:r>
        <w:rPr>
          <w:spacing w:val="29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система «Электронный</w:t>
      </w:r>
      <w:r>
        <w:rPr>
          <w:spacing w:val="1"/>
        </w:rPr>
        <w:t xml:space="preserve"> </w:t>
      </w:r>
      <w:r>
        <w:t>бюджет»)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7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каждой из сторон соглашения.</w:t>
      </w:r>
    </w:p>
    <w:p>
      <w:pPr>
        <w:pStyle w:val="a3"/>
        <w:ind w:firstLine="709"/>
      </w:pPr>
      <w:r>
        <w:t>В соглашении предусматриваются:</w:t>
      </w:r>
    </w:p>
    <w:p>
      <w:pPr>
        <w:pStyle w:val="a3"/>
        <w:ind w:firstLine="709"/>
      </w:pPr>
      <w:r>
        <w:t>целевое назначение гранта, направление расходов, на финансовое обеспечение которых предоставляется субсидия, размер гранта и сроки ее перечисления;</w:t>
      </w:r>
    </w:p>
    <w:p>
      <w:pPr>
        <w:pStyle w:val="a3"/>
        <w:ind w:firstLine="709"/>
      </w:pPr>
      <w:r>
        <w:t xml:space="preserve"> значение результата предоставления гранта;</w:t>
      </w:r>
    </w:p>
    <w:p>
      <w:pPr>
        <w:pStyle w:val="a3"/>
        <w:ind w:firstLine="709"/>
      </w:pPr>
      <w:r>
        <w:lastRenderedPageBreak/>
        <w:t xml:space="preserve"> форма и сроки представления грантополучателем дополнительных отчетов, установленных Министерством;</w:t>
      </w:r>
    </w:p>
    <w:p>
      <w:pPr>
        <w:pStyle w:val="a3"/>
        <w:ind w:firstLine="709"/>
      </w:pPr>
      <w:r>
        <w:t xml:space="preserve">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согласие грантополучателя, лиц, получающих средства на основании договоров, заключенных с </w:t>
      </w:r>
      <w:proofErr w:type="spellStart"/>
      <w:r>
        <w:rPr>
          <w:rFonts w:eastAsia="Calibri"/>
          <w:sz w:val="28"/>
          <w:szCs w:val="28"/>
        </w:rPr>
        <w:t>грантополучателями</w:t>
      </w:r>
      <w:proofErr w:type="spellEnd"/>
      <w:r>
        <w:rPr>
          <w:rFonts w:eastAsia="Calibri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статьями 268.1 и 269.2 Бюджетного кодекса Российской Федерации;</w:t>
      </w:r>
    </w:p>
    <w:p>
      <w:pPr>
        <w:pStyle w:val="a3"/>
        <w:ind w:firstLine="709"/>
      </w:pPr>
      <w:r>
        <w:t>порядок возврата субсидии в бюджет Республики Татарстан;</w:t>
      </w:r>
    </w:p>
    <w:p>
      <w:pPr>
        <w:pStyle w:val="a3"/>
        <w:ind w:firstLine="709"/>
      </w:pPr>
      <w:r>
        <w:t xml:space="preserve">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a3"/>
        <w:ind w:left="0" w:firstLine="709"/>
      </w:pPr>
      <w:r>
        <w:t>обязательство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осуществлению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 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hyperlink r:id="rId12">
        <w:r>
          <w:t>пункте</w:t>
        </w:r>
        <w:r>
          <w:rPr>
            <w:spacing w:val="1"/>
          </w:rPr>
          <w:t xml:space="preserve"> </w:t>
        </w:r>
        <w:r>
          <w:t>1.2</w:t>
        </w:r>
      </w:hyperlink>
      <w:r>
        <w:rPr>
          <w:spacing w:val="-67"/>
        </w:rPr>
        <w:t xml:space="preserve">  </w:t>
      </w:r>
      <w:r>
        <w:t>настоящего Порядка,</w:t>
      </w:r>
      <w:r>
        <w:rPr>
          <w:spacing w:val="-2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гранта;</w:t>
      </w:r>
    </w:p>
    <w:p>
      <w:pPr>
        <w:pStyle w:val="a3"/>
        <w:ind w:firstLine="607"/>
      </w:pPr>
      <w:r>
        <w:t>обязательство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плановых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деятельности.</w:t>
      </w:r>
    </w:p>
    <w:p>
      <w:pPr>
        <w:pStyle w:val="a3"/>
        <w:ind w:left="0" w:firstLine="709"/>
      </w:pPr>
      <w:bookmarkStart w:id="3" w:name="_bookmark4"/>
      <w:bookmarkEnd w:id="3"/>
      <w:r>
        <w:t xml:space="preserve"> В 2022 году согласование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соглашений, осуществляется путем принятия Министерством решения о согласовании новых условий соглашений на основании обращений получателей субсидии в срок не позднее 30 календарных дней со дня поступления соответствующего обращения.</w:t>
      </w:r>
    </w:p>
    <w:p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 Основаниями для отказа получателю субсидии в предоставлении субсидии являются:</w:t>
      </w:r>
    </w:p>
    <w:p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2.2 настоящего Порядка, или непредставление (представление не в полном объеме) указанных документов;</w:t>
      </w:r>
    </w:p>
    <w:p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a3"/>
        <w:ind w:left="0" w:firstLine="709"/>
      </w:pPr>
      <w:r>
        <w:t>3.6. Министерство в 10-дневный срок, исчисляемый в рабочих днях, со дня принятия решения о предоставлении гранта,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субсидии, в учреждениях Центрального банка Российской Федерации или кредитных организациях.</w:t>
      </w:r>
    </w:p>
    <w:p>
      <w:pPr>
        <w:pStyle w:val="a3"/>
        <w:ind w:left="0" w:firstLine="709"/>
        <w:jc w:val="center"/>
      </w:pPr>
      <w:r>
        <w:rPr>
          <w:lang w:val="en-US"/>
        </w:rPr>
        <w:lastRenderedPageBreak/>
        <w:t>IV</w:t>
      </w:r>
      <w:r>
        <w:t>. 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отчетности</w:t>
      </w:r>
    </w:p>
    <w:p>
      <w:pPr>
        <w:pStyle w:val="a3"/>
        <w:ind w:left="0" w:firstLine="709"/>
        <w:jc w:val="left"/>
      </w:pPr>
    </w:p>
    <w:p>
      <w:pPr>
        <w:tabs>
          <w:tab w:val="left" w:pos="13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1.Результатами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гранта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bookmarkStart w:id="4" w:name="_bookmark5"/>
      <w:bookmarkStart w:id="5" w:name="_bookmark6"/>
      <w:bookmarkEnd w:id="4"/>
      <w:bookmarkEnd w:id="5"/>
      <w:r>
        <w:rPr>
          <w:sz w:val="28"/>
          <w:szCs w:val="28"/>
        </w:rPr>
        <w:t xml:space="preserve"> обеспечение по состоянию на 31 декабря ежегодно в течение 5 лет начиная с года предоставления гранта:</w:t>
      </w:r>
    </w:p>
    <w:p>
      <w:pPr>
        <w:tabs>
          <w:tab w:val="left" w:pos="13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прироста объема производства сельскохозяйственной продукции к уровню предыдущего </w:t>
      </w:r>
      <w:proofErr w:type="gramStart"/>
      <w:r>
        <w:rPr>
          <w:sz w:val="28"/>
          <w:szCs w:val="28"/>
        </w:rPr>
        <w:t>года  (</w:t>
      </w:r>
      <w:proofErr w:type="gramEnd"/>
      <w:r>
        <w:rPr>
          <w:sz w:val="28"/>
          <w:szCs w:val="28"/>
        </w:rPr>
        <w:t>в натуральном выражении);</w:t>
      </w:r>
    </w:p>
    <w:p>
      <w:pPr>
        <w:tabs>
          <w:tab w:val="left" w:pos="13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роста объема доходов от услуг, оказываемых в сфере сельского туризма, не менее 5 процентов к уровню предыдущего года;</w:t>
      </w:r>
    </w:p>
    <w:p>
      <w:pPr>
        <w:pStyle w:val="a3"/>
        <w:ind w:left="0" w:firstLine="709"/>
      </w:pPr>
      <w:r>
        <w:t>количество туристов, посетивших объекты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proofErr w:type="gramStart"/>
      <w:r>
        <w:t xml:space="preserve">туризма </w:t>
      </w:r>
      <w:r>
        <w:rPr>
          <w:spacing w:val="1"/>
        </w:rPr>
        <w:t xml:space="preserve"> </w:t>
      </w:r>
      <w:r>
        <w:t>(</w:t>
      </w:r>
      <w:proofErr w:type="gramEnd"/>
      <w:r>
        <w:t>единиц),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Министерством в</w:t>
      </w:r>
      <w:r>
        <w:rPr>
          <w:spacing w:val="-2"/>
        </w:rPr>
        <w:t xml:space="preserve"> </w:t>
      </w:r>
      <w:r>
        <w:t>соглашении.</w:t>
      </w:r>
    </w:p>
    <w:p>
      <w:pPr>
        <w:tabs>
          <w:tab w:val="left" w:pos="130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Грантополучатели</w:t>
      </w:r>
      <w:proofErr w:type="spellEnd"/>
      <w:r>
        <w:rPr>
          <w:sz w:val="28"/>
          <w:szCs w:val="28"/>
        </w:rPr>
        <w:t xml:space="preserve"> представляют в Министерство:</w:t>
      </w:r>
    </w:p>
    <w:p>
      <w:pPr>
        <w:pStyle w:val="a5"/>
        <w:tabs>
          <w:tab w:val="left" w:pos="1303"/>
        </w:tabs>
        <w:ind w:left="0" w:firstLine="709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гранта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финансов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в срок до 10 января года, следующего за годом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гранта в течение 5 лет;</w:t>
      </w:r>
    </w:p>
    <w:p>
      <w:pPr>
        <w:pStyle w:val="a3"/>
        <w:ind w:left="0" w:firstLine="709"/>
      </w:pP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70"/>
        </w:rPr>
        <w:t xml:space="preserve"> </w:t>
      </w:r>
      <w:r>
        <w:t>финансов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срок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 следующего за отчетным кварталом в течение установленного срока освоения гранта.</w:t>
      </w:r>
    </w:p>
    <w:p>
      <w:pPr>
        <w:pStyle w:val="a3"/>
        <w:ind w:left="0" w:firstLine="709"/>
        <w:jc w:val="left"/>
      </w:pPr>
    </w:p>
    <w:p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Порядок осуществления контроля</w:t>
      </w:r>
    </w:p>
    <w:p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 Предоставленные гранты подлежат возврату в доход бюджета Республики Татарстан в соответствии с бюджетным законодательством в 30-дневный срок, исчисляемый в рабочих днях, со дня получения соответствующего требования от Министерства в случаях нарушения грантополучателем порядка и условий, установленных при предоставлении гранта настоящим Порядком и соглашением, непредставления отчетности, выявленных в том числе по фактам проверок, проведенных Министерством и органами государственного финансового контроля, а также</w:t>
      </w:r>
      <w:r>
        <w:rPr>
          <w:sz w:val="28"/>
          <w:szCs w:val="28"/>
        </w:rPr>
        <w:t xml:space="preserve"> недостижения грантополучателем значений результатов предоставления гранта установленных соглашением</w:t>
      </w:r>
      <w:r>
        <w:rPr>
          <w:sz w:val="28"/>
          <w:szCs w:val="28"/>
          <w:lang w:eastAsia="ru-RU"/>
        </w:rPr>
        <w:t>.</w:t>
      </w:r>
    </w:p>
    <w:p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bookmarkStart w:id="6" w:name="p815"/>
      <w:bookmarkEnd w:id="6"/>
      <w:r>
        <w:rPr>
          <w:sz w:val="28"/>
          <w:szCs w:val="28"/>
          <w:lang w:eastAsia="ru-RU"/>
        </w:rPr>
        <w:t xml:space="preserve">5.2. В случаях, предусмотренных соглашением, остатки гранта, не использованные в течение 18 месяцев со дня получения гранта, подлежат возврату грантополучателем в доход бюджета Республики Татарстан в 30-дневный срок, исчисляемый в рабочих днях, по истечении указанного срока освоения гранта. </w:t>
      </w:r>
    </w:p>
    <w:p>
      <w:pPr>
        <w:pStyle w:val="a3"/>
        <w:ind w:firstLine="540"/>
      </w:pPr>
      <w:r>
        <w:t xml:space="preserve">5.3. Министерство осуществляет проверку соблюдения </w:t>
      </w:r>
      <w:proofErr w:type="spellStart"/>
      <w:proofErr w:type="gramStart"/>
      <w:r>
        <w:t>грантополучателями</w:t>
      </w:r>
      <w:proofErr w:type="spellEnd"/>
      <w:r>
        <w:t xml:space="preserve">  порядка</w:t>
      </w:r>
      <w:proofErr w:type="gramEnd"/>
      <w:r>
        <w:t xml:space="preserve"> и условий предоставления гранта, в том числе в части достижения результатов предоставления гранта.</w:t>
      </w:r>
    </w:p>
    <w:p>
      <w:pPr>
        <w:pStyle w:val="a3"/>
        <w:ind w:firstLine="540"/>
      </w:pPr>
      <w:r>
        <w:t>Органы государственного финансового контроля осуществляют проверку в соответствии со статьями 2681 и 2692 Бюджетного кодекса Российской Федерации.</w:t>
      </w:r>
    </w:p>
    <w:p>
      <w:pPr>
        <w:pStyle w:val="a3"/>
        <w:ind w:left="0" w:firstLine="540"/>
      </w:pPr>
      <w:r>
        <w:t>5.4. 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sectPr>
      <w:headerReference w:type="default" r:id="rId13"/>
      <w:pgSz w:w="11910" w:h="16840"/>
      <w:pgMar w:top="851" w:right="567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21C"/>
    <w:multiLevelType w:val="multilevel"/>
    <w:tmpl w:val="A044012A"/>
    <w:lvl w:ilvl="0">
      <w:start w:val="4"/>
      <w:numFmt w:val="decimal"/>
      <w:lvlText w:val="%1"/>
      <w:lvlJc w:val="left"/>
      <w:pPr>
        <w:ind w:left="8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5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116204FA"/>
    <w:multiLevelType w:val="multilevel"/>
    <w:tmpl w:val="E9DEA16A"/>
    <w:lvl w:ilvl="0">
      <w:start w:val="3"/>
      <w:numFmt w:val="decimal"/>
      <w:lvlText w:val="%1"/>
      <w:lvlJc w:val="left"/>
      <w:pPr>
        <w:ind w:left="10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0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7" w:hanging="10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10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10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10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10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1018"/>
      </w:pPr>
      <w:rPr>
        <w:rFonts w:hint="default"/>
        <w:lang w:val="ru-RU" w:eastAsia="en-US" w:bidi="ar-SA"/>
      </w:rPr>
    </w:lvl>
  </w:abstractNum>
  <w:abstractNum w:abstractNumId="2" w15:restartNumberingAfterBreak="0">
    <w:nsid w:val="50464C7E"/>
    <w:multiLevelType w:val="multilevel"/>
    <w:tmpl w:val="F9B425E8"/>
    <w:lvl w:ilvl="0">
      <w:start w:val="2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69F11B60"/>
    <w:multiLevelType w:val="hybridMultilevel"/>
    <w:tmpl w:val="CABACDDA"/>
    <w:lvl w:ilvl="0" w:tplc="A4E679AE">
      <w:start w:val="1"/>
      <w:numFmt w:val="decimal"/>
      <w:lvlText w:val="%1"/>
      <w:lvlJc w:val="left"/>
      <w:pPr>
        <w:ind w:left="23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1"/>
        <w:sz w:val="16"/>
        <w:szCs w:val="16"/>
        <w:lang w:val="ru-RU" w:eastAsia="en-US" w:bidi="ar-SA"/>
      </w:rPr>
    </w:lvl>
    <w:lvl w:ilvl="1" w:tplc="73E0F1DA">
      <w:numFmt w:val="bullet"/>
      <w:lvlText w:val="•"/>
      <w:lvlJc w:val="left"/>
      <w:pPr>
        <w:ind w:left="1148" w:hanging="132"/>
      </w:pPr>
      <w:rPr>
        <w:rFonts w:hint="default"/>
        <w:lang w:val="ru-RU" w:eastAsia="en-US" w:bidi="ar-SA"/>
      </w:rPr>
    </w:lvl>
    <w:lvl w:ilvl="2" w:tplc="E7621BC4">
      <w:numFmt w:val="bullet"/>
      <w:lvlText w:val="•"/>
      <w:lvlJc w:val="left"/>
      <w:pPr>
        <w:ind w:left="2057" w:hanging="132"/>
      </w:pPr>
      <w:rPr>
        <w:rFonts w:hint="default"/>
        <w:lang w:val="ru-RU" w:eastAsia="en-US" w:bidi="ar-SA"/>
      </w:rPr>
    </w:lvl>
    <w:lvl w:ilvl="3" w:tplc="B886646A">
      <w:numFmt w:val="bullet"/>
      <w:lvlText w:val="•"/>
      <w:lvlJc w:val="left"/>
      <w:pPr>
        <w:ind w:left="2965" w:hanging="132"/>
      </w:pPr>
      <w:rPr>
        <w:rFonts w:hint="default"/>
        <w:lang w:val="ru-RU" w:eastAsia="en-US" w:bidi="ar-SA"/>
      </w:rPr>
    </w:lvl>
    <w:lvl w:ilvl="4" w:tplc="B22CF1C6">
      <w:numFmt w:val="bullet"/>
      <w:lvlText w:val="•"/>
      <w:lvlJc w:val="left"/>
      <w:pPr>
        <w:ind w:left="3874" w:hanging="132"/>
      </w:pPr>
      <w:rPr>
        <w:rFonts w:hint="default"/>
        <w:lang w:val="ru-RU" w:eastAsia="en-US" w:bidi="ar-SA"/>
      </w:rPr>
    </w:lvl>
    <w:lvl w:ilvl="5" w:tplc="D7988DE4">
      <w:numFmt w:val="bullet"/>
      <w:lvlText w:val="•"/>
      <w:lvlJc w:val="left"/>
      <w:pPr>
        <w:ind w:left="4783" w:hanging="132"/>
      </w:pPr>
      <w:rPr>
        <w:rFonts w:hint="default"/>
        <w:lang w:val="ru-RU" w:eastAsia="en-US" w:bidi="ar-SA"/>
      </w:rPr>
    </w:lvl>
    <w:lvl w:ilvl="6" w:tplc="D33A19D8">
      <w:numFmt w:val="bullet"/>
      <w:lvlText w:val="•"/>
      <w:lvlJc w:val="left"/>
      <w:pPr>
        <w:ind w:left="5691" w:hanging="132"/>
      </w:pPr>
      <w:rPr>
        <w:rFonts w:hint="default"/>
        <w:lang w:val="ru-RU" w:eastAsia="en-US" w:bidi="ar-SA"/>
      </w:rPr>
    </w:lvl>
    <w:lvl w:ilvl="7" w:tplc="D18C9096">
      <w:numFmt w:val="bullet"/>
      <w:lvlText w:val="•"/>
      <w:lvlJc w:val="left"/>
      <w:pPr>
        <w:ind w:left="6600" w:hanging="132"/>
      </w:pPr>
      <w:rPr>
        <w:rFonts w:hint="default"/>
        <w:lang w:val="ru-RU" w:eastAsia="en-US" w:bidi="ar-SA"/>
      </w:rPr>
    </w:lvl>
    <w:lvl w:ilvl="8" w:tplc="696609F4">
      <w:numFmt w:val="bullet"/>
      <w:lvlText w:val="•"/>
      <w:lvlJc w:val="left"/>
      <w:pPr>
        <w:ind w:left="7509" w:hanging="132"/>
      </w:pPr>
      <w:rPr>
        <w:rFonts w:hint="default"/>
        <w:lang w:val="ru-RU" w:eastAsia="en-US" w:bidi="ar-SA"/>
      </w:rPr>
    </w:lvl>
  </w:abstractNum>
  <w:abstractNum w:abstractNumId="4" w15:restartNumberingAfterBreak="0">
    <w:nsid w:val="6B0A25EB"/>
    <w:multiLevelType w:val="multilevel"/>
    <w:tmpl w:val="A4E20E6C"/>
    <w:lvl w:ilvl="0">
      <w:start w:val="1"/>
      <w:numFmt w:val="decimal"/>
      <w:lvlText w:val="%1."/>
      <w:lvlJc w:val="left"/>
      <w:pPr>
        <w:ind w:left="19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771E0CCF"/>
    <w:multiLevelType w:val="multilevel"/>
    <w:tmpl w:val="F9B425E8"/>
    <w:lvl w:ilvl="0">
      <w:start w:val="2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7B4254F8"/>
    <w:multiLevelType w:val="multilevel"/>
    <w:tmpl w:val="C71C2ED2"/>
    <w:lvl w:ilvl="0">
      <w:start w:val="1"/>
      <w:numFmt w:val="decimal"/>
      <w:lvlText w:val="%1"/>
      <w:lvlJc w:val="left"/>
      <w:pPr>
        <w:ind w:left="102" w:hanging="8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5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7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8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561E8-3B81-4168-B003-C9F5D7B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Гипертекстовая ссылка"/>
    <w:basedOn w:val="a0"/>
    <w:uiPriority w:val="9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1BB9361F9C73367440DF727A96A7DC15B985B545CE0FB63DC2DC54C422F1986E06513BF9CFCB8EA85AC8B792BC21B9D72CB876F5EB2621FF57F33A1TDb3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BF4D36CA409CF5095AA6C3F7A216AB6E9BE9BFE9EA270A491908E2DA3D2711AEEC57CA689C7DA71B8888D51512689305130A871B9DCF1D910EFF4DD2C3c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1BB9361F9C73367440DF727A96A7DC15B985B545CE0FB63DC2DC54C422F1986E06513BF9CFCB8EA85AC8B792BC21B9D72CB876F5EB2621FF57F33A1TDb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8224902/1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8224902/8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D9B9-C172-466E-99A0-C545AEB3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4303</Words>
  <Characters>24533</Characters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2022-05-24T11:06:00Z</dcterms:created>
  <dcterms:modified xsi:type="dcterms:W3CDTF">2022-05-24T11:06:00Z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2022-04-26T00:00:00Z</vt:filetime>
  </property>
</Properties>
</file>