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060" w:rsidRPr="008C6060" w:rsidRDefault="008C6060" w:rsidP="008C6060">
      <w:pPr>
        <w:ind w:firstLine="8364"/>
        <w:rPr>
          <w:rFonts w:ascii="Times New Roman" w:eastAsia="Times New Roman" w:hAnsi="Times New Roman" w:cs="Times New Roman"/>
          <w:bCs/>
          <w:sz w:val="28"/>
          <w:szCs w:val="28"/>
          <w:lang w:eastAsia="ru-RU" w:bidi="lo-LA"/>
        </w:rPr>
      </w:pPr>
      <w:r w:rsidRPr="008C6060">
        <w:rPr>
          <w:rFonts w:ascii="Times New Roman" w:eastAsia="Times New Roman" w:hAnsi="Times New Roman" w:cs="Times New Roman"/>
          <w:bCs/>
          <w:sz w:val="28"/>
          <w:szCs w:val="28"/>
          <w:lang w:eastAsia="ru-RU" w:bidi="lo-LA"/>
        </w:rPr>
        <w:t xml:space="preserve">Проект </w:t>
      </w:r>
    </w:p>
    <w:p w:rsidR="008C6060" w:rsidRPr="008C6060" w:rsidRDefault="008C6060" w:rsidP="008C6060">
      <w:pPr>
        <w:ind w:firstLine="8364"/>
        <w:rPr>
          <w:rFonts w:ascii="Times New Roman" w:eastAsia="Times New Roman" w:hAnsi="Times New Roman" w:cs="Times New Roman"/>
          <w:bCs/>
          <w:sz w:val="28"/>
          <w:szCs w:val="28"/>
          <w:lang w:eastAsia="ru-RU" w:bidi="lo-LA"/>
        </w:rPr>
      </w:pPr>
    </w:p>
    <w:p w:rsidR="008C6060" w:rsidRPr="008C6060" w:rsidRDefault="008C6060" w:rsidP="008C6060">
      <w:pPr>
        <w:ind w:firstLine="8364"/>
        <w:rPr>
          <w:rFonts w:ascii="Times New Roman" w:eastAsia="Times New Roman" w:hAnsi="Times New Roman" w:cs="Times New Roman"/>
          <w:bCs/>
          <w:sz w:val="28"/>
          <w:szCs w:val="28"/>
          <w:lang w:eastAsia="ru-RU" w:bidi="lo-LA"/>
        </w:rPr>
      </w:pPr>
    </w:p>
    <w:p w:rsidR="008C6060" w:rsidRPr="008C6060" w:rsidRDefault="008C6060" w:rsidP="008C6060">
      <w:pPr>
        <w:ind w:firstLine="8364"/>
        <w:rPr>
          <w:rFonts w:ascii="Times New Roman" w:eastAsia="Times New Roman" w:hAnsi="Times New Roman" w:cs="Times New Roman"/>
          <w:bCs/>
          <w:sz w:val="28"/>
          <w:szCs w:val="28"/>
          <w:lang w:eastAsia="ru-RU" w:bidi="lo-LA"/>
        </w:rPr>
      </w:pPr>
    </w:p>
    <w:p w:rsidR="008C6060" w:rsidRPr="008C6060" w:rsidRDefault="008C6060" w:rsidP="008C6060">
      <w:pPr>
        <w:ind w:firstLine="8364"/>
        <w:rPr>
          <w:rFonts w:ascii="Times New Roman" w:eastAsia="Times New Roman" w:hAnsi="Times New Roman" w:cs="Times New Roman"/>
          <w:bCs/>
          <w:sz w:val="28"/>
          <w:szCs w:val="28"/>
          <w:lang w:eastAsia="ru-RU" w:bidi="lo-LA"/>
        </w:rPr>
      </w:pPr>
    </w:p>
    <w:p w:rsidR="008C6060" w:rsidRPr="008C6060" w:rsidRDefault="008C6060" w:rsidP="008C6060">
      <w:pPr>
        <w:ind w:firstLine="8364"/>
        <w:rPr>
          <w:rFonts w:ascii="Times New Roman" w:eastAsia="Times New Roman" w:hAnsi="Times New Roman" w:cs="Times New Roman"/>
          <w:bCs/>
          <w:sz w:val="28"/>
          <w:szCs w:val="28"/>
          <w:lang w:eastAsia="ru-RU" w:bidi="lo-LA"/>
        </w:rPr>
      </w:pPr>
    </w:p>
    <w:tbl>
      <w:tblPr>
        <w:tblW w:w="10245" w:type="dxa"/>
        <w:tblInd w:w="-108" w:type="dxa"/>
        <w:tblLook w:val="0000" w:firstRow="0" w:lastRow="0" w:firstColumn="0" w:lastColumn="0" w:noHBand="0" w:noVBand="0"/>
      </w:tblPr>
      <w:tblGrid>
        <w:gridCol w:w="2694"/>
        <w:gridCol w:w="1420"/>
        <w:gridCol w:w="699"/>
        <w:gridCol w:w="2645"/>
        <w:gridCol w:w="2787"/>
      </w:tblGrid>
      <w:tr w:rsidR="008C6060" w:rsidRPr="008C6060" w:rsidTr="00FF4955">
        <w:trPr>
          <w:trHeight w:val="569"/>
        </w:trPr>
        <w:tc>
          <w:tcPr>
            <w:tcW w:w="2638" w:type="dxa"/>
            <w:shd w:val="clear" w:color="auto" w:fill="FFFFFF"/>
          </w:tcPr>
          <w:p w:rsidR="008C6060" w:rsidRPr="008C6060" w:rsidRDefault="008C6060" w:rsidP="00FF495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lo-LA"/>
              </w:rPr>
            </w:pPr>
          </w:p>
          <w:p w:rsidR="008C6060" w:rsidRPr="008C6060" w:rsidRDefault="008C6060" w:rsidP="00FF495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lo-LA"/>
              </w:rPr>
            </w:pPr>
          </w:p>
          <w:p w:rsidR="008C6060" w:rsidRPr="008C6060" w:rsidRDefault="008C6060" w:rsidP="00FF495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lo-LA"/>
              </w:rPr>
            </w:pPr>
          </w:p>
        </w:tc>
        <w:tc>
          <w:tcPr>
            <w:tcW w:w="1390" w:type="dxa"/>
            <w:shd w:val="clear" w:color="auto" w:fill="FFFFFF"/>
          </w:tcPr>
          <w:p w:rsidR="008C6060" w:rsidRPr="008C6060" w:rsidRDefault="008C6060" w:rsidP="00FF495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lo-LA"/>
              </w:rPr>
            </w:pPr>
            <w:r w:rsidRPr="008C60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lo-LA"/>
              </w:rPr>
              <w:t>г.Казань</w:t>
            </w:r>
          </w:p>
        </w:tc>
        <w:tc>
          <w:tcPr>
            <w:tcW w:w="3273" w:type="dxa"/>
            <w:gridSpan w:val="2"/>
            <w:shd w:val="clear" w:color="auto" w:fill="FFFFFF"/>
          </w:tcPr>
          <w:p w:rsidR="008C6060" w:rsidRPr="008C6060" w:rsidRDefault="008C6060" w:rsidP="00FF495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lo-LA"/>
              </w:rPr>
            </w:pPr>
            <w:r w:rsidRPr="008C60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lo-LA"/>
              </w:rPr>
              <w:t xml:space="preserve">               № ___________</w:t>
            </w:r>
          </w:p>
        </w:tc>
        <w:tc>
          <w:tcPr>
            <w:tcW w:w="2728" w:type="dxa"/>
            <w:shd w:val="clear" w:color="auto" w:fill="FFFFFF"/>
          </w:tcPr>
          <w:p w:rsidR="008C6060" w:rsidRPr="008C6060" w:rsidRDefault="008C6060" w:rsidP="00FF495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lo-LA"/>
              </w:rPr>
            </w:pPr>
          </w:p>
        </w:tc>
      </w:tr>
      <w:tr w:rsidR="008C6060" w:rsidRPr="008C6060" w:rsidTr="00FF4955">
        <w:trPr>
          <w:gridAfter w:val="2"/>
          <w:wAfter w:w="5317" w:type="dxa"/>
          <w:trHeight w:val="569"/>
        </w:trPr>
        <w:tc>
          <w:tcPr>
            <w:tcW w:w="4712" w:type="dxa"/>
            <w:gridSpan w:val="3"/>
            <w:shd w:val="clear" w:color="auto" w:fill="FFFFFF"/>
          </w:tcPr>
          <w:p w:rsidR="008C6060" w:rsidRPr="008C6060" w:rsidRDefault="008C6060" w:rsidP="008C606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11060D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О внесении изменени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й</w:t>
            </w:r>
            <w:r w:rsidRPr="0011060D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а</w:t>
            </w:r>
            <w:r w:rsidRPr="0011060D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дминистративны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й</w:t>
            </w:r>
            <w:r w:rsidRPr="0011060D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регламент предоставления государственн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ой</w:t>
            </w:r>
            <w:r w:rsidRPr="0011060D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услуг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и</w:t>
            </w:r>
            <w:r w:rsidRPr="0011060D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</w:t>
            </w:r>
            <w:r w:rsidRPr="00F63BC8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по </w:t>
            </w:r>
            <w:r w:rsidRPr="008C6060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социальной адаптации безработных граждан на рынке труда в Республике Татарстан, утвержденного приказом Министерства труда, занятости и социальной защиты Республики Татарстан от 15.09.2015 № 649</w:t>
            </w:r>
          </w:p>
        </w:tc>
      </w:tr>
    </w:tbl>
    <w:p w:rsidR="0073336E" w:rsidRPr="008C6060" w:rsidRDefault="0073336E" w:rsidP="009479AE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lo-LA"/>
        </w:rPr>
      </w:pPr>
    </w:p>
    <w:p w:rsidR="0073336E" w:rsidRDefault="0073336E" w:rsidP="009479AE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9AE" w:rsidRDefault="009479AE" w:rsidP="009479AE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16 марта 2022 г. № 376 «Об особенностях организации предоставления государственных услуг в сфере занятости населения в 2022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году» </w:t>
      </w:r>
      <w:r>
        <w:rPr>
          <w:rFonts w:ascii="Times New Roman" w:hAnsi="Times New Roman" w:cs="Times New Roman"/>
          <w:sz w:val="28"/>
          <w:szCs w:val="28"/>
          <w:lang w:eastAsia="ru-RU"/>
        </w:rPr>
        <w:t> п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 и к а з ы в а ю:</w:t>
      </w:r>
    </w:p>
    <w:p w:rsidR="009479AE" w:rsidRDefault="009479AE" w:rsidP="009479AE">
      <w:pPr>
        <w:pStyle w:val="ConsPlusNormal0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 Установить, что:</w:t>
      </w:r>
    </w:p>
    <w:p w:rsidR="009479AE" w:rsidRDefault="009479AE" w:rsidP="009479A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До 31 декабря 2022 года действие </w:t>
      </w:r>
      <w:r w:rsidRPr="008C6060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государственной услуги по социальной адаптации безработных граждан на рынке труда в Республике Татарстан, утвержденного приказом Министерства труда, занятости и социальной защиты Республики Татарстан от 15.09.2015 № 649 «Об утверждении Административного регламента предоставления государственной услуги по социальной адаптации безработных граждан на рынке труда в Республике Татарстан»</w:t>
      </w:r>
      <w:r>
        <w:rPr>
          <w:rFonts w:ascii="Times New Roman" w:hAnsi="Times New Roman" w:cs="Times New Roman"/>
          <w:sz w:val="28"/>
          <w:szCs w:val="28"/>
        </w:rPr>
        <w:t>, распространяется также на граждан, зарегистрированных в целях поиска подходящей работы, относящихся к одной из следующих категорий:</w:t>
      </w:r>
    </w:p>
    <w:p w:rsidR="009479AE" w:rsidRDefault="009479AE" w:rsidP="009479AE">
      <w:pPr>
        <w:autoSpaceDE w:val="0"/>
        <w:autoSpaceDN w:val="0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граждане, находящиеся под риском увольнения (граждане, планируемые к увольнению в связи с ликвидацией организации либо с прекращением деятельности индивидуального предпринимателя, сокращением численности или штата работников организации, индивидуального предпринимателя и возможным расторжением с ними трудовых договоров); </w:t>
      </w:r>
    </w:p>
    <w:p w:rsidR="009479AE" w:rsidRDefault="009479AE" w:rsidP="009479AE">
      <w:pPr>
        <w:autoSpaceDE w:val="0"/>
        <w:autoSpaceDN w:val="0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граждане, переведенные по инициативе работодателя на работу в режим неполного рабочего дня (смены) и (или) неполной рабочей недели; </w:t>
      </w:r>
    </w:p>
    <w:p w:rsidR="009479AE" w:rsidRDefault="009479AE" w:rsidP="009479AE">
      <w:pPr>
        <w:autoSpaceDE w:val="0"/>
        <w:autoSpaceDN w:val="0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граждане, состоящие в трудовых отношениях с работодателями, которые приняли решение о простое; </w:t>
      </w:r>
    </w:p>
    <w:p w:rsidR="009479AE" w:rsidRDefault="009479AE" w:rsidP="009479AE">
      <w:pPr>
        <w:autoSpaceDE w:val="0"/>
        <w:autoSpaceDN w:val="0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граждане, состоящие в трудовых отношениях с работодателями, в отношении которых применены процедуры о несостоятельности (банкротстве); </w:t>
      </w:r>
    </w:p>
    <w:p w:rsidR="009479AE" w:rsidRDefault="009479AE" w:rsidP="009479AE">
      <w:pPr>
        <w:autoSpaceDE w:val="0"/>
        <w:autoSpaceDN w:val="0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граждане, находящиеся в отпусках без сохранения заработной платы; </w:t>
      </w:r>
    </w:p>
    <w:p w:rsidR="009479AE" w:rsidRDefault="009479AE" w:rsidP="009479AE">
      <w:pPr>
        <w:autoSpaceDE w:val="0"/>
        <w:autoSpaceDN w:val="0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граждане, испытывающие трудности в поиске работы.</w:t>
      </w:r>
    </w:p>
    <w:p w:rsidR="009479AE" w:rsidRDefault="009479AE" w:rsidP="009479AE">
      <w:pPr>
        <w:autoSpaceDE w:val="0"/>
        <w:autoSpaceDN w:val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1.2. Граждане, </w:t>
      </w:r>
      <w:r>
        <w:rPr>
          <w:rFonts w:ascii="Times New Roman" w:hAnsi="Times New Roman" w:cs="Times New Roman"/>
          <w:sz w:val="28"/>
          <w:szCs w:val="28"/>
        </w:rPr>
        <w:t xml:space="preserve">указанные в подпункте 1.1 настоящего пункта, для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предоставления государственной услуги по социальной адаптации безработных граждан на рынке труда в Республике Татарстан дополнительно к документам, представление которых является обязательным для получения государственной услуги, в зависимости от категории представляют в государственные учреждения службы занятости населения Республики Татарстан один из следующих документов, выданных работодателем, подтверждающих принятие решения:</w:t>
      </w:r>
    </w:p>
    <w:p w:rsidR="009479AE" w:rsidRDefault="009479AE" w:rsidP="009479AE">
      <w:pPr>
        <w:autoSpaceDE w:val="0"/>
        <w:autoSpaceDN w:val="0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 ликвидации организации либо прекращении деятельности индивидуальным предпринимателем; </w:t>
      </w:r>
    </w:p>
    <w:p w:rsidR="009479AE" w:rsidRDefault="009479AE" w:rsidP="009479AE">
      <w:pPr>
        <w:autoSpaceDE w:val="0"/>
        <w:autoSpaceDN w:val="0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 сокращении численности или штата работников организации, индивидуального предпринимателя и возможном расторжении трудовых договоров;</w:t>
      </w:r>
    </w:p>
    <w:p w:rsidR="009479AE" w:rsidRDefault="009479AE" w:rsidP="009479AE">
      <w:pPr>
        <w:autoSpaceDE w:val="0"/>
        <w:autoSpaceDN w:val="0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 установление работодателем неполного рабочего времени;</w:t>
      </w:r>
    </w:p>
    <w:p w:rsidR="009479AE" w:rsidRDefault="009479AE" w:rsidP="009479AE">
      <w:pPr>
        <w:autoSpaceDE w:val="0"/>
        <w:autoSpaceDN w:val="0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 простое или временной приостановке работ;</w:t>
      </w:r>
    </w:p>
    <w:p w:rsidR="009479AE" w:rsidRDefault="009479AE" w:rsidP="009479AE">
      <w:pPr>
        <w:autoSpaceDE w:val="0"/>
        <w:autoSpaceDN w:val="0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 предоставлении отпусков без сохранения заработной платы;</w:t>
      </w:r>
    </w:p>
    <w:p w:rsidR="009479AE" w:rsidRDefault="009479AE" w:rsidP="009479AE">
      <w:pPr>
        <w:autoSpaceDE w:val="0"/>
        <w:autoSpaceDN w:val="0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 проведении мероприятий по высвобождению работников.</w:t>
      </w:r>
    </w:p>
    <w:p w:rsidR="009479AE" w:rsidRDefault="009479AE" w:rsidP="009479A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 Действие настоящего приказа распространяется на правоотношения, возникшие с 25 марта 2022 года.</w:t>
      </w:r>
    </w:p>
    <w:p w:rsidR="005654FA" w:rsidRDefault="008C6060"/>
    <w:p w:rsidR="008C6060" w:rsidRDefault="008C6060"/>
    <w:p w:rsidR="008C6060" w:rsidRDefault="008C6060"/>
    <w:p w:rsidR="008C6060" w:rsidRDefault="008C6060" w:rsidP="008C6060">
      <w:pPr>
        <w:pStyle w:val="ConsPlusNormal0"/>
      </w:pPr>
      <w:r w:rsidRPr="003040A0">
        <w:rPr>
          <w:rFonts w:ascii="Times New Roman" w:hAnsi="Times New Roman" w:cs="Times New Roman"/>
          <w:sz w:val="28"/>
          <w:szCs w:val="28"/>
        </w:rPr>
        <w:t>Министр</w:t>
      </w:r>
      <w:r w:rsidRPr="003040A0">
        <w:rPr>
          <w:rFonts w:ascii="Times New Roman" w:hAnsi="Times New Roman" w:cs="Times New Roman"/>
          <w:sz w:val="28"/>
          <w:szCs w:val="28"/>
        </w:rPr>
        <w:tab/>
      </w:r>
      <w:r w:rsidRPr="003040A0">
        <w:rPr>
          <w:rFonts w:ascii="Times New Roman" w:hAnsi="Times New Roman" w:cs="Times New Roman"/>
          <w:sz w:val="28"/>
          <w:szCs w:val="28"/>
        </w:rPr>
        <w:tab/>
      </w:r>
      <w:r w:rsidRPr="003040A0">
        <w:rPr>
          <w:rFonts w:ascii="Times New Roman" w:hAnsi="Times New Roman" w:cs="Times New Roman"/>
          <w:sz w:val="28"/>
          <w:szCs w:val="28"/>
        </w:rPr>
        <w:tab/>
      </w:r>
      <w:r w:rsidRPr="003040A0">
        <w:rPr>
          <w:rFonts w:ascii="Times New Roman" w:hAnsi="Times New Roman" w:cs="Times New Roman"/>
          <w:sz w:val="28"/>
          <w:szCs w:val="28"/>
        </w:rPr>
        <w:tab/>
      </w:r>
      <w:r w:rsidRPr="003040A0">
        <w:rPr>
          <w:rFonts w:ascii="Times New Roman" w:hAnsi="Times New Roman" w:cs="Times New Roman"/>
          <w:sz w:val="28"/>
          <w:szCs w:val="28"/>
        </w:rPr>
        <w:tab/>
      </w:r>
      <w:r w:rsidRPr="003040A0">
        <w:rPr>
          <w:rFonts w:ascii="Times New Roman" w:hAnsi="Times New Roman" w:cs="Times New Roman"/>
          <w:sz w:val="28"/>
          <w:szCs w:val="28"/>
        </w:rPr>
        <w:tab/>
      </w:r>
      <w:r w:rsidRPr="003040A0">
        <w:rPr>
          <w:rFonts w:ascii="Times New Roman" w:hAnsi="Times New Roman" w:cs="Times New Roman"/>
          <w:sz w:val="28"/>
          <w:szCs w:val="28"/>
        </w:rPr>
        <w:tab/>
      </w:r>
      <w:r w:rsidRPr="003040A0">
        <w:rPr>
          <w:rFonts w:ascii="Times New Roman" w:hAnsi="Times New Roman" w:cs="Times New Roman"/>
          <w:sz w:val="28"/>
          <w:szCs w:val="28"/>
        </w:rPr>
        <w:tab/>
      </w:r>
      <w:r w:rsidRPr="003040A0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proofErr w:type="spellStart"/>
      <w:r w:rsidRPr="003040A0">
        <w:rPr>
          <w:rFonts w:ascii="Times New Roman" w:hAnsi="Times New Roman" w:cs="Times New Roman"/>
          <w:sz w:val="28"/>
          <w:szCs w:val="28"/>
        </w:rPr>
        <w:t>Э.А.Зарипова</w:t>
      </w:r>
      <w:proofErr w:type="spellEnd"/>
    </w:p>
    <w:p w:rsidR="008C6060" w:rsidRDefault="008C6060">
      <w:bookmarkStart w:id="0" w:name="_GoBack"/>
      <w:bookmarkEnd w:id="0"/>
    </w:p>
    <w:sectPr w:rsidR="008C6060" w:rsidSect="009479A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AE"/>
    <w:rsid w:val="00052C22"/>
    <w:rsid w:val="004012B7"/>
    <w:rsid w:val="0073336E"/>
    <w:rsid w:val="008C6060"/>
    <w:rsid w:val="009479AE"/>
    <w:rsid w:val="00B954EC"/>
    <w:rsid w:val="00BD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DA7EB"/>
  <w15:chartTrackingRefBased/>
  <w15:docId w15:val="{87E68C05-5D52-497D-A9DC-2C275698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9AE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basedOn w:val="a0"/>
    <w:link w:val="ConsPlusNormal0"/>
    <w:locked/>
    <w:rsid w:val="009479AE"/>
    <w:rPr>
      <w:rFonts w:ascii="Calibri" w:hAnsi="Calibri" w:cs="Calibri"/>
    </w:rPr>
  </w:style>
  <w:style w:type="paragraph" w:customStyle="1" w:styleId="ConsPlusNormal0">
    <w:name w:val="ConsPlusNormal"/>
    <w:basedOn w:val="a"/>
    <w:link w:val="ConsPlusNormal"/>
    <w:rsid w:val="009479AE"/>
    <w:pPr>
      <w:autoSpaceDE w:val="0"/>
      <w:autoSpaceDN w:val="0"/>
    </w:pPr>
    <w:rPr>
      <w:sz w:val="22"/>
      <w:szCs w:val="22"/>
    </w:rPr>
  </w:style>
  <w:style w:type="paragraph" w:customStyle="1" w:styleId="ConsPlusTitle">
    <w:name w:val="ConsPlusTitle"/>
    <w:rsid w:val="008C60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4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Гульнара Ивановна</dc:creator>
  <cp:keywords/>
  <dc:description/>
  <cp:lastModifiedBy>Колюшкина Елена Александровна</cp:lastModifiedBy>
  <cp:revision>3</cp:revision>
  <dcterms:created xsi:type="dcterms:W3CDTF">2022-06-06T14:05:00Z</dcterms:created>
  <dcterms:modified xsi:type="dcterms:W3CDTF">2022-06-06T14:09:00Z</dcterms:modified>
</cp:coreProperties>
</file>