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лица для направления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замечаний и предложений: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Хакимов Рамиль Мавлетжанович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развития отраслей животноводства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221-76-88 (88 29)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Email: Hakimov.Ramil@tatar.ru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Шабаев Адель Рустемович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г. Казань, ул. Федосеевская, 36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221-76-14</w:t>
      </w:r>
    </w:p>
    <w:p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Adel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Shabaev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tatar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 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Казань</w:t>
      </w:r>
    </w:p>
    <w:p>
      <w:pPr>
        <w:spacing w:after="0" w:line="240" w:lineRule="auto"/>
        <w:ind w:left="567" w:right="566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left="567" w:right="566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>предоставления в 2022 году из бюджета Республики Татарстан субсидии сельхозтоваропроизводителям, осуществляющим разведение и/или содержание молочных коз на возмещение части затрат на приобретение кормов.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567"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r:id="rId8" w:history="1">
        <w:r>
          <w:rPr>
            <w:rFonts w:ascii="Times New Roman" w:hAnsi="Times New Roman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в 2022 году из бюджета Республики Татарстан субсидии сельхозтоваропроизводителям, осуществляющим разведение и/или содержание молочных коз на возмещение части затрат на приобретение кормов.</w:t>
      </w:r>
    </w:p>
    <w:p>
      <w:pPr>
        <w:spacing w:after="0" w:line="240" w:lineRule="auto"/>
        <w:ind w:left="567"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    Министерство сельского хозяйства и продовольствия Республики Татарстан.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spacing w:after="0" w:line="240" w:lineRule="auto"/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А.В. Песошин            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680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>
      <w:pPr>
        <w:spacing w:after="0" w:line="240" w:lineRule="auto"/>
        <w:ind w:firstLine="680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>
      <w:pPr>
        <w:spacing w:after="0" w:line="240" w:lineRule="auto"/>
        <w:ind w:firstLine="680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Кабинета Министров</w:t>
      </w:r>
    </w:p>
    <w:p>
      <w:pPr>
        <w:spacing w:after="0" w:line="240" w:lineRule="auto"/>
        <w:ind w:firstLine="680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>
      <w:pPr>
        <w:spacing w:after="0" w:line="240" w:lineRule="auto"/>
        <w:ind w:firstLine="680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от_____2022 №______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в 2022 году из бюджета Республики Татарстан субсидии сельхозтоваропроизводителям, осуществляющим разведение и/или содержание молочных коз на возмещение части затрат на приобретение кормов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Настоящий Порядок определяет механизм предоставления в 2022 году из бюджета Республики Татарстан субсидии сельхозтоваропроизводителям (за исключением личных подсобных хозяйств граждан и сельскохозяйственных кредитных потребительских кооперативов) осуществляющим разведение и/или содержание молочных коз на возмещение части затрат (за вычетом расходов на уплату налога на добавленную стоимость) на приобретение кормов (далее соответственно - субсидии, участники отбора).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при формировании проекта закона Республики Татарстан о бюджете Республики Татарстан на соответствующий финансовый год и на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(далее - заявки), исходя из соответствия участников отбора критериям отбора и очередности поступления заявок.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 Министерство размещает на едином портале и на своем официальном сайте https://agro.tatarstan.ru в информационно-телекоммуникационной сети         «Интернет»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сроков проведения отбора;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доменного имени, </w:t>
      </w:r>
      <w:r>
        <w:rPr>
          <w:rFonts w:ascii="Times New Roman" w:hAnsi="Times New Roman"/>
          <w:sz w:val="28"/>
          <w:szCs w:val="28"/>
        </w:rPr>
        <w:t>и/или</w:t>
      </w:r>
      <w:r>
        <w:rPr>
          <w:rFonts w:ascii="Times New Roman" w:hAnsi="Times New Roman"/>
          <w:bCs/>
          <w:sz w:val="28"/>
          <w:szCs w:val="28"/>
        </w:rPr>
        <w:t xml:space="preserve"> сетевого адреса, </w:t>
      </w:r>
      <w:r>
        <w:rPr>
          <w:rFonts w:ascii="Times New Roman" w:hAnsi="Times New Roman"/>
          <w:sz w:val="28"/>
          <w:szCs w:val="28"/>
        </w:rPr>
        <w:t>и/или</w:t>
      </w:r>
      <w:r>
        <w:rPr>
          <w:rFonts w:ascii="Times New Roman" w:hAnsi="Times New Roman"/>
          <w:bCs/>
          <w:sz w:val="28"/>
          <w:szCs w:val="28"/>
        </w:rPr>
        <w:t xml:space="preserve">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 рассмотрения заявок в соответствии с пунктами 8 и 9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Критериями отбора получателей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участником отбора деятельности на территории Республики Татарстан и уплата налогов в бюджет Республики Татарстан;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участником отбора в отчетном и текущем финансовых годах деятельности по разведению и выращиванию коз, производству и реализации козьего молока;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наличие в собственности </w:t>
      </w:r>
      <w:r>
        <w:rPr>
          <w:rFonts w:ascii="Times New Roman" w:hAnsi="Times New Roman"/>
          <w:sz w:val="28"/>
          <w:szCs w:val="28"/>
        </w:rPr>
        <w:t>и/или</w:t>
      </w:r>
      <w:r>
        <w:rPr>
          <w:rFonts w:ascii="Times New Roman" w:hAnsi="Times New Roman"/>
          <w:bCs/>
          <w:sz w:val="28"/>
          <w:szCs w:val="28"/>
        </w:rPr>
        <w:t xml:space="preserve"> на условиях аренды поголовья коз по состоянию на 1 января 2022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 участника отбора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 рублей;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r:id="rId9" w:history="1">
        <w:r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и/или введением иностранными государствами, государственными объединениями и/или союзами и/или государственными (межгосударственными) учреждениями иностранных государств или государственных объединений и/или союзов мер ограниченного характера. 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том, что участник отбора соответствует требованиям </w:t>
      </w:r>
      <w:hyperlink r:id="rId10" w:history="1">
        <w:r>
          <w:rPr>
            <w:rFonts w:ascii="Times New Roman" w:hAnsi="Times New Roman"/>
            <w:sz w:val="28"/>
            <w:szCs w:val="28"/>
          </w:rPr>
          <w:t>пункта 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</w:t>
      </w:r>
      <w:r>
        <w:rPr>
          <w:rFonts w:ascii="Times New Roman" w:hAnsi="Times New Roman"/>
          <w:sz w:val="28"/>
          <w:szCs w:val="28"/>
        </w:rPr>
        <w:lastRenderedPageBreak/>
        <w:t xml:space="preserve">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самостоятельно), или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дату, не превышающую 15 рабочих дней до даты подачи заявки; 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копию внутрихозяйственного отчета о движении животных за декабрь 2021 года по форме, утвержденной Государственным комитетом Российской Федерации по статистике;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информацию о поголовье коз по состоянию на 1 января 2022 года, на основании которой сформирована статистическая отчетность за 2021 год;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сведения о маточном поголовье коз на 1 января 2022 года на основании бухгалтерской отчетности, заверенные руководителем и главным бухгалтером участника отбора;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копии договоров на закупку кормов, кормовых добавок;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копии накладных на закупку кормов, кормовых добавок за 2022 год;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копии платежных поручений на закупку кормов, кормовых добавок за 2022 год;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справку-расчет о причитающиеся субсидии по форме, утвержденной Министерством.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Министерство: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в </w:t>
      </w:r>
      <w:r>
        <w:rPr>
          <w:rFonts w:ascii="Times New Roman" w:hAnsi="Times New Roman"/>
          <w:bCs/>
          <w:sz w:val="28"/>
          <w:szCs w:val="28"/>
        </w:rPr>
        <w:lastRenderedPageBreak/>
        <w:t>информационной системе «Агропромышленный комплекс Республики Татарстан»;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и утверждает реестр о результатах отбора (об определении победителей отбора либо об отклонении заявки) по форме, утвержденной приказом Министерства;</w:t>
      </w:r>
    </w:p>
    <w:p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информацию о результатах рассмотрения заявок, включающую следующие сведения: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победителя (победителей) отбора, с которым заключается соглашение, и размер предоставляемой им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исчерпание лимита бюджетных обязательств.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Министерство в течение пяти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соглашении предусматриваются: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значения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 возврата субсидии в бюджет Республики Татарстан;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</w:t>
      </w:r>
      <w:r>
        <w:rPr>
          <w:rFonts w:ascii="Times New Roman" w:hAnsi="Times New Roman"/>
          <w:sz w:val="28"/>
          <w:szCs w:val="28"/>
        </w:rPr>
        <w:lastRenderedPageBreak/>
        <w:t xml:space="preserve">к невозможности предоставления субсидии в размере, определенном в соглашении (порядок согласования новых условий соглашений).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 Министерство: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Основаниями для отказа получателю субсидии в предоставлении субсидии являются: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в соответствии с </w:t>
      </w:r>
      <w:hyperlink r:id="rId11" w:history="1">
        <w:r>
          <w:rPr>
            <w:rFonts w:ascii="Times New Roman" w:hAnsi="Times New Roman"/>
            <w:sz w:val="28"/>
            <w:szCs w:val="28"/>
          </w:rPr>
          <w:t>пунктом 7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Направлением затрат, на возмещение которых предоставляется субсидии, являются затраты, произведенные в 2022 году, связанные с приобретением кормов </w:t>
      </w:r>
      <w:r>
        <w:rPr>
          <w:rFonts w:ascii="Times New Roman" w:hAnsi="Times New Roman"/>
          <w:sz w:val="28"/>
          <w:szCs w:val="28"/>
        </w:rPr>
        <w:t>и/или</w:t>
      </w:r>
      <w:r>
        <w:rPr>
          <w:rFonts w:ascii="Times New Roman" w:hAnsi="Times New Roman"/>
          <w:bCs/>
          <w:sz w:val="28"/>
          <w:szCs w:val="28"/>
        </w:rPr>
        <w:t xml:space="preserve"> кормовых добавок.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 = S x 50%,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 - сумма фактически произведенных в 2022 году затрат на закупку кормов</w:t>
      </w:r>
      <w:r>
        <w:rPr>
          <w:rFonts w:ascii="Times New Roman" w:hAnsi="Times New Roman"/>
          <w:sz w:val="28"/>
          <w:szCs w:val="28"/>
        </w:rPr>
        <w:t xml:space="preserve"> и/или</w:t>
      </w:r>
      <w:r>
        <w:rPr>
          <w:rFonts w:ascii="Times New Roman" w:hAnsi="Times New Roman"/>
          <w:bCs/>
          <w:sz w:val="28"/>
          <w:szCs w:val="28"/>
        </w:rPr>
        <w:t xml:space="preserve"> кормовых добавок (за вычетом расходов на уплату налога на добавленную стоимость), рублей.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 Результатами предоставления субсидии являются: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сохранение маточного поголовья коз на 1 января 2023 года по отношению к 1 января 2022 года;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увеличение производства молока в 2022 году не менее чем на 1% </w:t>
      </w:r>
      <w:r>
        <w:rPr>
          <w:rFonts w:ascii="Times New Roman" w:hAnsi="Times New Roman"/>
          <w:sz w:val="28"/>
          <w:szCs w:val="28"/>
        </w:rPr>
        <w:t>к аналогичному периоду предшествующего года, по состоянию на 1 января 2023 года.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Получатель субсидии представляет в Министерство отчет о достижении значения результат предоставления субсидии до 1 февраля года, следующего за годом получения субсидии, по форме, прилагаемой к типовой форме соглашения о предоставлении субсидии, установленной Министерством финансов Республики Татарстан.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если получателем субсидии не достигнуты установленные в соглашении значения результат предоставления субсидии, получатель субсидии осуществляет возврат средств субсидии в размере (Vвозврата), определяемом по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Vвозврата = (Vсубсидии x k) x 0,1,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Vсубсидии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826770" cy="461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где: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 - фактически достигнутое значение результат предоставления субсидии на отчетную дату получателем субсидии;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 - плановое значение результат предоставления субсидии, установленное соглашением получателю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 предоставления субсидии, установленных соглашением, с указанием срока и платежных реквизитов почтовым отправлением с уведомлением о вручении.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17. При нарушении получателем субсидии срока возврата субсидии, указанного в пункте 16 настоящего Порядка, Министерство в течении 60 рабочих дней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и 269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 Ответственность за достоверность документов, представляемых получателями субсидии в Министерство, возлагается на соответствующих должностных лиц.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20. Контроль за использованием бюджетных средств осуществляет Министерство.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13"/>
      <w:pgSz w:w="11906" w:h="16838" w:code="9"/>
      <w:pgMar w:top="1134" w:right="851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>PAGE   \* MERGEFORMAT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noProof/>
        <w:sz w:val="28"/>
        <w:szCs w:val="24"/>
      </w:rPr>
      <w:t>2</w:t>
    </w:r>
    <w:r>
      <w:rPr>
        <w:rFonts w:ascii="Times New Roman" w:hAnsi="Times New Roman"/>
        <w:sz w:val="28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863C00"/>
    <w:multiLevelType w:val="hybridMultilevel"/>
    <w:tmpl w:val="FC4CA196"/>
    <w:lvl w:ilvl="0" w:tplc="30CA17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4D37AAE"/>
    <w:multiLevelType w:val="hybridMultilevel"/>
    <w:tmpl w:val="F1BC4796"/>
    <w:lvl w:ilvl="0" w:tplc="38D6C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570AE"/>
    <w:multiLevelType w:val="hybridMultilevel"/>
    <w:tmpl w:val="7E46A83C"/>
    <w:lvl w:ilvl="0" w:tplc="FF02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594E5E"/>
    <w:multiLevelType w:val="hybridMultilevel"/>
    <w:tmpl w:val="A8D6882E"/>
    <w:lvl w:ilvl="0" w:tplc="4030F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0FC4"/>
    <w:multiLevelType w:val="hybridMultilevel"/>
    <w:tmpl w:val="2FEE1D78"/>
    <w:lvl w:ilvl="0" w:tplc="40AEBF08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11" w15:restartNumberingAfterBreak="0">
    <w:nsid w:val="7CE0026A"/>
    <w:multiLevelType w:val="hybridMultilevel"/>
    <w:tmpl w:val="98F0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63296"/>
    <w:multiLevelType w:val="hybridMultilevel"/>
    <w:tmpl w:val="629C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62AFF-ABA0-4F4D-8C64-94DDA635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7">
    <w:name w:val="Заголовок Знак"/>
    <w:link w:val="a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Pr>
      <w:sz w:val="22"/>
      <w:szCs w:val="2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Цветовое выделение"/>
    <w:uiPriority w:val="99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4">
    <w:name w:val="Текст примечания1"/>
    <w:basedOn w:val="a"/>
    <w:next w:val="af9"/>
    <w:link w:val="afa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14"/>
    <w:uiPriority w:val="99"/>
    <w:semiHidden/>
    <w:rPr>
      <w:sz w:val="20"/>
      <w:szCs w:val="20"/>
    </w:rPr>
  </w:style>
  <w:style w:type="paragraph" w:customStyle="1" w:styleId="15">
    <w:name w:val="Тема примечания1"/>
    <w:basedOn w:val="af9"/>
    <w:next w:val="af9"/>
    <w:uiPriority w:val="99"/>
    <w:semiHidden/>
    <w:unhideWhenUsed/>
    <w:pPr>
      <w:spacing w:after="160"/>
    </w:pPr>
    <w:rPr>
      <w:rFonts w:eastAsia="Calibri"/>
      <w:b/>
      <w:bCs/>
      <w:lang w:eastAsia="en-US"/>
    </w:rPr>
  </w:style>
  <w:style w:type="character" w:customStyle="1" w:styleId="afb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9">
    <w:name w:val="annotation text"/>
    <w:basedOn w:val="a"/>
    <w:link w:val="1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link w:val="af9"/>
    <w:uiPriority w:val="99"/>
    <w:semiHidden/>
  </w:style>
  <w:style w:type="paragraph" w:styleId="afc">
    <w:name w:val="annotation subject"/>
    <w:basedOn w:val="af9"/>
    <w:next w:val="af9"/>
    <w:link w:val="afb"/>
    <w:uiPriority w:val="99"/>
    <w:semiHidden/>
    <w:unhideWhenUsed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873&amp;dst=100009&amp;field=134&amp;date=13.09.20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6873&amp;dst=100041&amp;field=134&amp;date=13.09.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66873&amp;dst=100034&amp;field=134&amp;date=13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873&amp;dst=100010&amp;field=134&amp;date=13.09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1F45C-D48D-4283-9D32-FC7F437A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3006</Words>
  <Characters>17136</Characters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Links>
    <vt:vector size="54" baseType="variant"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131099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Par586</vt:lpwstr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/document/10900200/entry/0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2022-09-22T15:21:00Z</cp:lastPrinted>
  <dcterms:created xsi:type="dcterms:W3CDTF">2022-09-22T15:21:00Z</dcterms:created>
  <dcterms:modified xsi:type="dcterms:W3CDTF">2022-09-22T15:21:00Z</dcterms:modified>
</cp:coreProperties>
</file>