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ind w:left="5245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Контактные лица для направления</w:t>
      </w:r>
    </w:p>
    <w:p>
      <w:pPr>
        <w:autoSpaceDE w:val="0"/>
        <w:autoSpaceDN w:val="0"/>
        <w:adjustRightInd w:val="0"/>
        <w:ind w:left="5245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замечаний и предложений:</w:t>
      </w:r>
    </w:p>
    <w:p>
      <w:pPr>
        <w:autoSpaceDE w:val="0"/>
        <w:autoSpaceDN w:val="0"/>
        <w:adjustRightInd w:val="0"/>
        <w:ind w:left="5245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Хусаинов Айрат </w:t>
      </w:r>
      <w:proofErr w:type="spellStart"/>
      <w:r>
        <w:rPr>
          <w:bCs/>
          <w:sz w:val="28"/>
          <w:szCs w:val="28"/>
          <w:lang w:eastAsia="en-US"/>
        </w:rPr>
        <w:t>Шавкатович</w:t>
      </w:r>
    </w:p>
    <w:p>
      <w:pPr>
        <w:autoSpaceDE w:val="0"/>
        <w:autoSpaceDN w:val="0"/>
        <w:adjustRightInd w:val="0"/>
        <w:ind w:left="5245"/>
        <w:outlineLvl w:val="0"/>
        <w:rPr>
          <w:bCs/>
          <w:sz w:val="28"/>
          <w:szCs w:val="28"/>
          <w:lang w:eastAsia="en-US"/>
        </w:rPr>
      </w:pPr>
      <w:proofErr w:type="spellEnd"/>
      <w:r>
        <w:rPr>
          <w:bCs/>
          <w:sz w:val="28"/>
          <w:szCs w:val="28"/>
          <w:lang w:eastAsia="en-US"/>
        </w:rPr>
        <w:t>Зам. начальника отдела инвестиционной политики и целевых программ</w:t>
      </w:r>
    </w:p>
    <w:p>
      <w:pPr>
        <w:autoSpaceDE w:val="0"/>
        <w:autoSpaceDN w:val="0"/>
        <w:adjustRightInd w:val="0"/>
        <w:ind w:left="5245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Телефон: </w:t>
      </w:r>
      <w:r>
        <w:rPr>
          <w:bCs/>
          <w:sz w:val="28"/>
          <w:szCs w:val="28"/>
          <w:lang w:eastAsia="en-US"/>
        </w:rPr>
        <w:t>+7 (843) 221-76-29</w:t>
      </w:r>
    </w:p>
    <w:p>
      <w:pPr>
        <w:autoSpaceDE w:val="0"/>
        <w:autoSpaceDN w:val="0"/>
        <w:adjustRightInd w:val="0"/>
        <w:ind w:left="5245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val="en-US" w:eastAsia="en-US"/>
        </w:rPr>
        <w:t>Email</w:t>
      </w:r>
      <w:r>
        <w:rPr>
          <w:bCs/>
          <w:sz w:val="28"/>
          <w:szCs w:val="28"/>
          <w:lang w:eastAsia="en-US"/>
        </w:rPr>
        <w:t xml:space="preserve">: </w:t>
      </w:r>
      <w:r>
        <w:rPr>
          <w:bCs/>
          <w:sz w:val="28"/>
          <w:szCs w:val="28"/>
          <w:lang w:val="en-US" w:eastAsia="en-US"/>
        </w:rPr>
        <w:t>Ayrat</w:t>
      </w:r>
      <w:r>
        <w:rPr>
          <w:bCs/>
          <w:sz w:val="28"/>
          <w:szCs w:val="28"/>
          <w:lang w:eastAsia="en-US"/>
        </w:rPr>
        <w:t>.</w:t>
      </w:r>
      <w:r>
        <w:rPr>
          <w:bCs/>
          <w:sz w:val="28"/>
          <w:szCs w:val="28"/>
          <w:lang w:val="en-US" w:eastAsia="en-US"/>
        </w:rPr>
        <w:t>Husainov</w:t>
      </w:r>
      <w:r>
        <w:rPr>
          <w:bCs/>
          <w:sz w:val="28"/>
          <w:szCs w:val="28"/>
          <w:lang w:eastAsia="en-US"/>
        </w:rPr>
        <w:t>@</w:t>
      </w:r>
      <w:r>
        <w:rPr>
          <w:bCs/>
          <w:sz w:val="28"/>
          <w:szCs w:val="28"/>
          <w:lang w:val="en-US" w:eastAsia="en-US"/>
        </w:rPr>
        <w:t>tatar</w:t>
      </w:r>
      <w:r>
        <w:rPr>
          <w:bCs/>
          <w:sz w:val="28"/>
          <w:szCs w:val="28"/>
          <w:lang w:eastAsia="en-US"/>
        </w:rPr>
        <w:t>.</w:t>
      </w:r>
      <w:r>
        <w:rPr>
          <w:bCs/>
          <w:sz w:val="28"/>
          <w:szCs w:val="28"/>
          <w:lang w:val="en-US" w:eastAsia="en-US"/>
        </w:rPr>
        <w:t>ru</w:t>
      </w:r>
    </w:p>
    <w:p>
      <w:pPr>
        <w:autoSpaceDE w:val="0"/>
        <w:autoSpaceDN w:val="0"/>
        <w:adjustRightInd w:val="0"/>
        <w:ind w:left="5245"/>
        <w:outlineLvl w:val="0"/>
        <w:rPr>
          <w:bCs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ind w:left="5245"/>
        <w:outlineLvl w:val="0"/>
        <w:rPr>
          <w:bCs/>
          <w:sz w:val="28"/>
          <w:szCs w:val="28"/>
          <w:lang w:eastAsia="en-US"/>
        </w:rPr>
      </w:pPr>
      <w:proofErr w:type="spellStart"/>
      <w:r>
        <w:rPr>
          <w:bCs/>
          <w:sz w:val="28"/>
          <w:szCs w:val="28"/>
          <w:lang w:eastAsia="en-US"/>
        </w:rPr>
        <w:t>Калимуллин</w:t>
      </w:r>
      <w:proofErr w:type="spellEnd"/>
      <w:r>
        <w:rPr>
          <w:bCs/>
          <w:sz w:val="28"/>
          <w:szCs w:val="28"/>
          <w:lang w:eastAsia="en-US"/>
        </w:rPr>
        <w:t xml:space="preserve"> Ильнар Ирекович</w:t>
      </w:r>
    </w:p>
    <w:p>
      <w:pPr>
        <w:autoSpaceDE w:val="0"/>
        <w:autoSpaceDN w:val="0"/>
        <w:adjustRightInd w:val="0"/>
        <w:ind w:left="5245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Начальник юридического отдела</w:t>
      </w:r>
    </w:p>
    <w:p>
      <w:pPr>
        <w:autoSpaceDE w:val="0"/>
        <w:autoSpaceDN w:val="0"/>
        <w:adjustRightInd w:val="0"/>
        <w:ind w:left="5245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Телефон: +7 (843) 221-76-14</w:t>
      </w:r>
    </w:p>
    <w:p>
      <w:pPr>
        <w:autoSpaceDE w:val="0"/>
        <w:autoSpaceDN w:val="0"/>
        <w:adjustRightInd w:val="0"/>
        <w:ind w:left="5245"/>
        <w:outlineLvl w:val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E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mail</w:t>
      </w:r>
      <w:r>
        <w:rPr>
          <w:color w:val="000000"/>
          <w:sz w:val="28"/>
          <w:szCs w:val="28"/>
        </w:rPr>
        <w:t xml:space="preserve">: </w:t>
      </w:r>
      <w:hyperlink r:id="rId8" w:history="1">
        <w:r>
          <w:rPr>
            <w:color w:val="000000"/>
            <w:sz w:val="28"/>
            <w:szCs w:val="28"/>
            <w:lang w:val="en-US"/>
          </w:rPr>
          <w:t>Ilnar</w:t>
        </w:r>
        <w:r>
          <w:rPr>
            <w:color w:val="000000"/>
            <w:sz w:val="28"/>
            <w:szCs w:val="28"/>
          </w:rPr>
          <w:t>.</w:t>
        </w:r>
        <w:r>
          <w:rPr>
            <w:color w:val="000000"/>
            <w:sz w:val="28"/>
            <w:szCs w:val="28"/>
            <w:lang w:val="en-US"/>
          </w:rPr>
          <w:t>Kalimullin</w:t>
        </w:r>
        <w:r>
          <w:rPr>
            <w:color w:val="000000"/>
            <w:sz w:val="28"/>
            <w:szCs w:val="28"/>
          </w:rPr>
          <w:t>@</w:t>
        </w:r>
        <w:proofErr w:type="spellStart"/>
        <w:r>
          <w:rPr>
            <w:color w:val="000000"/>
            <w:sz w:val="28"/>
            <w:szCs w:val="28"/>
            <w:lang w:val="en-US"/>
          </w:rPr>
          <w:t>tatar</w:t>
        </w:r>
        <w:proofErr w:type="spellEnd"/>
        <w:r>
          <w:rPr>
            <w:color w:val="000000"/>
            <w:sz w:val="28"/>
            <w:szCs w:val="28"/>
          </w:rPr>
          <w:t>.</w:t>
        </w:r>
        <w:proofErr w:type="spellStart"/>
        <w:r>
          <w:rPr>
            <w:color w:val="000000"/>
            <w:sz w:val="28"/>
            <w:szCs w:val="28"/>
            <w:lang w:val="en-US"/>
          </w:rPr>
          <w:t>ru</w:t>
        </w:r>
        <w:proofErr w:type="spellEnd"/>
      </w:hyperlink>
    </w:p>
    <w:p>
      <w:pPr>
        <w:ind w:firstLine="851"/>
        <w:jc w:val="both"/>
        <w:rPr>
          <w:color w:val="000000"/>
          <w:sz w:val="28"/>
          <w:szCs w:val="28"/>
        </w:rPr>
      </w:pPr>
    </w:p>
    <w:p>
      <w:pPr>
        <w:ind w:firstLine="851"/>
        <w:jc w:val="both"/>
        <w:rPr>
          <w:color w:val="000000"/>
          <w:sz w:val="28"/>
          <w:szCs w:val="28"/>
        </w:rPr>
      </w:pPr>
    </w:p>
    <w:p>
      <w:pPr>
        <w:pStyle w:val="af1"/>
        <w:rPr>
          <w:b w:val="0"/>
          <w:sz w:val="28"/>
        </w:rPr>
      </w:pPr>
      <w:r>
        <w:rPr>
          <w:b w:val="0"/>
          <w:sz w:val="28"/>
        </w:rPr>
        <w:t>КАБИНЕТ МИНИСТРОВ РЕСПУБЛИКИ ТАТАРСТАН</w:t>
      </w:r>
    </w:p>
    <w:p>
      <w:pPr>
        <w:pStyle w:val="af1"/>
        <w:rPr>
          <w:b w:val="0"/>
          <w:sz w:val="28"/>
        </w:rPr>
      </w:pPr>
      <w:r>
        <w:rPr>
          <w:b w:val="0"/>
          <w:sz w:val="28"/>
          <w:lang w:val="ru-RU"/>
        </w:rPr>
        <w:t>РАСПОРЯЖЕНИЕ</w:t>
      </w:r>
    </w:p>
    <w:p>
      <w:pPr>
        <w:pStyle w:val="af1"/>
        <w:jc w:val="both"/>
        <w:rPr>
          <w:b w:val="0"/>
          <w:sz w:val="28"/>
        </w:rPr>
      </w:pPr>
    </w:p>
    <w:p>
      <w:pPr>
        <w:pStyle w:val="af1"/>
        <w:jc w:val="both"/>
        <w:rPr>
          <w:b w:val="0"/>
          <w:sz w:val="28"/>
          <w:lang w:val="ru-RU"/>
        </w:rPr>
      </w:pPr>
    </w:p>
    <w:p>
      <w:pPr>
        <w:pStyle w:val="10"/>
        <w:suppressAutoHyphens/>
        <w:spacing w:line="245" w:lineRule="auto"/>
        <w:ind w:firstLine="709"/>
        <w:jc w:val="both"/>
        <w:rPr>
          <w:bCs/>
          <w:color w:val="000000"/>
          <w:szCs w:val="28"/>
        </w:rPr>
      </w:pPr>
    </w:p>
    <w:p>
      <w:pPr>
        <w:pStyle w:val="10"/>
        <w:suppressAutoHyphens/>
        <w:spacing w:line="245" w:lineRule="auto"/>
        <w:ind w:firstLine="709"/>
        <w:jc w:val="both"/>
        <w:rPr>
          <w:bCs/>
          <w:color w:val="000000"/>
          <w:szCs w:val="28"/>
        </w:rPr>
      </w:pPr>
      <w:bookmarkStart w:id="0" w:name="_GoBack"/>
      <w:r>
        <w:rPr>
          <w:bCs/>
          <w:color w:val="000000"/>
          <w:szCs w:val="28"/>
        </w:rPr>
        <w:t>Внести в распоряжение Кабинета Министров Республики Татарстан                          от 22.02.2023 № 474-р</w:t>
      </w:r>
      <w:bookmarkEnd w:id="0"/>
      <w:r>
        <w:rPr>
          <w:bCs/>
          <w:color w:val="000000"/>
          <w:szCs w:val="28"/>
        </w:rPr>
        <w:t xml:space="preserve"> следующие изменения: </w:t>
      </w:r>
    </w:p>
    <w:p>
      <w:pPr>
        <w:pStyle w:val="10"/>
        <w:suppressAutoHyphens/>
        <w:spacing w:line="245" w:lineRule="auto"/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в пункте 1 слова «населенных пунктов, расположенных на прилегающих территориях» заменить словами «прилегающих территорий»;</w:t>
      </w:r>
    </w:p>
    <w:p>
      <w:pPr>
        <w:pStyle w:val="10"/>
        <w:suppressAutoHyphens/>
        <w:spacing w:line="245" w:lineRule="auto"/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в пункте 2 слова «населенных пунктов, расположенных на прилегающих территориях» заменить словами «прилегающих территорий»;</w:t>
      </w:r>
    </w:p>
    <w:p>
      <w:pPr>
        <w:pStyle w:val="10"/>
        <w:suppressAutoHyphens/>
        <w:spacing w:line="245" w:lineRule="auto"/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в пункте 3: </w:t>
      </w:r>
    </w:p>
    <w:p>
      <w:pPr>
        <w:pStyle w:val="10"/>
        <w:suppressAutoHyphens/>
        <w:spacing w:line="245" w:lineRule="auto"/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в абзаце четвертом слова «населенных пунктов, расположенных на прилегающих территориях» заменить словами «прилегающих территорий»;</w:t>
      </w:r>
    </w:p>
    <w:p>
      <w:pPr>
        <w:pStyle w:val="10"/>
        <w:suppressAutoHyphens/>
        <w:spacing w:line="245" w:lineRule="auto"/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в абзаце пятом слова «населенных пунктов, расположенных на прилегающих территориях» заменить словами «прилегающих территорий»;</w:t>
      </w:r>
    </w:p>
    <w:p>
      <w:pPr>
        <w:pStyle w:val="10"/>
        <w:suppressAutoHyphens/>
        <w:spacing w:line="245" w:lineRule="auto"/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абзац шестой изложить в следующей редакции:</w:t>
      </w:r>
    </w:p>
    <w:p>
      <w:pPr>
        <w:pStyle w:val="10"/>
        <w:suppressAutoHyphens/>
        <w:spacing w:line="245" w:lineRule="auto"/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«ежегодно, начиная с 2025 года, до 15 марта года, следующего за отчетным, совместно с органами местного самоуправления муниципальных образований, на территории которых расположены опорные населенные пункты и прилегающие территории Республики Татарстан, проводить мониторинг реализации планов долгосрочного социально-экономического развития опорных населенных пунктов и прилегающих территорий, включающих планы комплексного развития инфраструктуры.»;</w:t>
      </w:r>
    </w:p>
    <w:p>
      <w:pPr>
        <w:pStyle w:val="10"/>
        <w:suppressAutoHyphens/>
        <w:spacing w:line="245" w:lineRule="auto"/>
        <w:ind w:firstLine="709"/>
        <w:jc w:val="both"/>
        <w:rPr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в Перечне опорных населенных пунктов и населенных пунктов, расположенных на прилегающих территориях Республики Татарстан,</w:t>
      </w:r>
      <w:r>
        <w:rPr>
          <w:color w:val="000000" w:themeColor="text1"/>
          <w:szCs w:val="28"/>
        </w:rPr>
        <w:t xml:space="preserve"> утвержденным указанным распоряжением:</w:t>
      </w:r>
    </w:p>
    <w:p>
      <w:pPr>
        <w:pStyle w:val="10"/>
        <w:suppressAutoHyphens/>
        <w:spacing w:line="245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наименование изложить в следующей редакции:</w:t>
      </w:r>
    </w:p>
    <w:p>
      <w:pPr>
        <w:pStyle w:val="10"/>
        <w:suppressAutoHyphens/>
        <w:spacing w:line="245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«Перечень опорных населенных пунктов и прилегающих территорий Республики Татарстан»;</w:t>
      </w:r>
    </w:p>
    <w:p>
      <w:pPr>
        <w:pStyle w:val="10"/>
        <w:suppressAutoHyphens/>
        <w:spacing w:line="245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таблице:</w:t>
      </w:r>
    </w:p>
    <w:p>
      <w:pPr>
        <w:pStyle w:val="10"/>
        <w:suppressAutoHyphens/>
        <w:spacing w:line="245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наименованиях граф 5, 6, 7 слово «ПНП» заменить словом «ПТ»;</w:t>
      </w:r>
    </w:p>
    <w:p>
      <w:pPr>
        <w:pStyle w:val="10"/>
        <w:suppressAutoHyphens/>
        <w:spacing w:line="245" w:lineRule="auto"/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lastRenderedPageBreak/>
        <w:t>строки 8.128 – 8.173; 9.47 – 9.122; 14.86 – 14.116; 18.130 – 18.169; 19.70 – 19.126; 30.48 – 30.68 исключить;</w:t>
      </w:r>
    </w:p>
    <w:p>
      <w:pPr>
        <w:pStyle w:val="10"/>
        <w:suppressAutoHyphens/>
        <w:spacing w:line="245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 строке 6.2 цифры «92607404101» заменить цифрами «92607404106»;</w:t>
      </w:r>
    </w:p>
    <w:p>
      <w:pPr>
        <w:pStyle w:val="10"/>
        <w:suppressAutoHyphens/>
        <w:spacing w:line="245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 строке 13.42 цифры «92624470111» заменить цифрами «92624475101»;</w:t>
      </w:r>
    </w:p>
    <w:p>
      <w:pPr>
        <w:pStyle w:val="10"/>
        <w:suppressAutoHyphens/>
        <w:spacing w:line="245" w:lineRule="auto"/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в строке 14.2 слова «</w:t>
      </w:r>
      <w:proofErr w:type="spellStart"/>
      <w:r>
        <w:rPr>
          <w:bCs/>
          <w:color w:val="000000"/>
          <w:szCs w:val="28"/>
        </w:rPr>
        <w:t>с.Алексадровская</w:t>
      </w:r>
      <w:proofErr w:type="spellEnd"/>
      <w:r>
        <w:rPr>
          <w:bCs/>
          <w:color w:val="000000"/>
          <w:szCs w:val="28"/>
        </w:rPr>
        <w:t xml:space="preserve"> Слобода» заменить словами «</w:t>
      </w:r>
      <w:proofErr w:type="spellStart"/>
      <w:r>
        <w:rPr>
          <w:bCs/>
          <w:color w:val="000000"/>
          <w:szCs w:val="28"/>
        </w:rPr>
        <w:t>с.Александровская</w:t>
      </w:r>
      <w:proofErr w:type="spellEnd"/>
      <w:r>
        <w:rPr>
          <w:bCs/>
          <w:color w:val="000000"/>
          <w:szCs w:val="28"/>
        </w:rPr>
        <w:t xml:space="preserve"> Слобода»;</w:t>
      </w:r>
    </w:p>
    <w:p>
      <w:pPr>
        <w:pStyle w:val="10"/>
        <w:suppressAutoHyphens/>
        <w:spacing w:line="245" w:lineRule="auto"/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в строке 17.98 слова «</w:t>
      </w:r>
      <w:proofErr w:type="spellStart"/>
      <w:r>
        <w:rPr>
          <w:bCs/>
          <w:color w:val="000000"/>
          <w:szCs w:val="28"/>
        </w:rPr>
        <w:t>с.Средний</w:t>
      </w:r>
      <w:proofErr w:type="spellEnd"/>
      <w:r>
        <w:rPr>
          <w:bCs/>
          <w:color w:val="000000"/>
          <w:szCs w:val="28"/>
        </w:rPr>
        <w:t xml:space="preserve"> Кукмор» заменить словами «</w:t>
      </w:r>
      <w:proofErr w:type="spellStart"/>
      <w:r>
        <w:rPr>
          <w:bCs/>
          <w:color w:val="000000"/>
          <w:szCs w:val="28"/>
        </w:rPr>
        <w:t>с.Средний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Кумор</w:t>
      </w:r>
      <w:proofErr w:type="spellEnd"/>
      <w:r>
        <w:rPr>
          <w:bCs/>
          <w:color w:val="000000"/>
          <w:szCs w:val="28"/>
        </w:rPr>
        <w:t>»;</w:t>
      </w:r>
    </w:p>
    <w:p>
      <w:pPr>
        <w:pStyle w:val="10"/>
        <w:suppressAutoHyphens/>
        <w:spacing w:line="245" w:lineRule="auto"/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в строке 17.99 слова «</w:t>
      </w:r>
      <w:proofErr w:type="spellStart"/>
      <w:r>
        <w:rPr>
          <w:bCs/>
          <w:color w:val="000000"/>
          <w:szCs w:val="28"/>
        </w:rPr>
        <w:t>д.Верхний</w:t>
      </w:r>
      <w:proofErr w:type="spellEnd"/>
      <w:r>
        <w:rPr>
          <w:bCs/>
          <w:color w:val="000000"/>
          <w:szCs w:val="28"/>
        </w:rPr>
        <w:t xml:space="preserve"> Кукмор» заменить словами «</w:t>
      </w:r>
      <w:proofErr w:type="spellStart"/>
      <w:r>
        <w:rPr>
          <w:bCs/>
          <w:color w:val="000000"/>
          <w:szCs w:val="28"/>
        </w:rPr>
        <w:t>д.Верхний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Кумор</w:t>
      </w:r>
      <w:proofErr w:type="spellEnd"/>
      <w:r>
        <w:rPr>
          <w:bCs/>
          <w:color w:val="000000"/>
          <w:szCs w:val="28"/>
        </w:rPr>
        <w:t>»;</w:t>
      </w:r>
    </w:p>
    <w:p>
      <w:pPr>
        <w:pStyle w:val="10"/>
        <w:suppressAutoHyphens/>
        <w:spacing w:line="245" w:lineRule="auto"/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в строке 17.100 слова «</w:t>
      </w:r>
      <w:proofErr w:type="spellStart"/>
      <w:r>
        <w:rPr>
          <w:bCs/>
          <w:color w:val="000000"/>
          <w:szCs w:val="28"/>
        </w:rPr>
        <w:t>д.Нижний</w:t>
      </w:r>
      <w:proofErr w:type="spellEnd"/>
      <w:r>
        <w:rPr>
          <w:bCs/>
          <w:color w:val="000000"/>
          <w:szCs w:val="28"/>
        </w:rPr>
        <w:t xml:space="preserve"> Кукмор» заменить словами «</w:t>
      </w:r>
      <w:proofErr w:type="spellStart"/>
      <w:r>
        <w:rPr>
          <w:bCs/>
          <w:color w:val="000000"/>
          <w:szCs w:val="28"/>
        </w:rPr>
        <w:t>д.Нижний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Кумор</w:t>
      </w:r>
      <w:proofErr w:type="spellEnd"/>
      <w:r>
        <w:rPr>
          <w:bCs/>
          <w:color w:val="000000"/>
          <w:szCs w:val="28"/>
        </w:rPr>
        <w:t>»;</w:t>
      </w:r>
    </w:p>
    <w:p>
      <w:pPr>
        <w:pStyle w:val="10"/>
        <w:suppressAutoHyphens/>
        <w:spacing w:line="245" w:lineRule="auto"/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в строке 30 цифры «92610474101» заменить цифрами «92658470101»;</w:t>
      </w:r>
    </w:p>
    <w:p>
      <w:pPr>
        <w:pStyle w:val="10"/>
        <w:suppressAutoHyphens/>
        <w:spacing w:line="245" w:lineRule="auto"/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дополнить строками следующего содержания: </w:t>
      </w:r>
    </w:p>
    <w:p>
      <w:pPr>
        <w:pStyle w:val="10"/>
        <w:suppressAutoHyphens/>
        <w:spacing w:line="240" w:lineRule="auto"/>
        <w:ind w:firstLine="709"/>
        <w:jc w:val="both"/>
        <w:rPr>
          <w:sz w:val="18"/>
          <w:szCs w:val="28"/>
        </w:rPr>
      </w:pPr>
    </w:p>
    <w:tbl>
      <w:tblPr>
        <w:tblW w:w="1063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417"/>
        <w:gridCol w:w="1134"/>
        <w:gridCol w:w="1418"/>
        <w:gridCol w:w="1984"/>
        <w:gridCol w:w="1701"/>
        <w:gridCol w:w="2125"/>
      </w:tblGrid>
      <w:tr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Chars="-73" w:left="25" w:right="-102" w:hangingChars="61" w:hanging="171"/>
              <w:jc w:val="center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г.Менделеевск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Chars="-57" w:left="32" w:right="-111" w:hangingChars="52" w:hanging="146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92639101001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Менделевский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100" w:right="-107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Абалачи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92639403101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ind w:left="-102" w:right="-109"/>
              <w:jc w:val="center"/>
              <w:outlineLvl w:val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Менделеевский</w:t>
            </w:r>
          </w:p>
        </w:tc>
      </w:tr>
      <w:tr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Тагаево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92639403106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ind w:left="-102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Бизяки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92639410101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2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Икское</w:t>
            </w:r>
            <w:proofErr w:type="spellEnd"/>
            <w:r>
              <w:rPr>
                <w:sz w:val="28"/>
                <w:szCs w:val="28"/>
              </w:rPr>
              <w:t xml:space="preserve"> Устье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92639410106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2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Сетяково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92639410111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2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Марийское </w:t>
            </w:r>
            <w:proofErr w:type="spellStart"/>
            <w:r>
              <w:rPr>
                <w:sz w:val="28"/>
                <w:szCs w:val="28"/>
              </w:rPr>
              <w:t>Текашево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92639410116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2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Татарское </w:t>
            </w:r>
            <w:proofErr w:type="spellStart"/>
            <w:r>
              <w:rPr>
                <w:sz w:val="28"/>
                <w:szCs w:val="28"/>
              </w:rPr>
              <w:t>Текашево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92639410121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2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Брюшли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92639415101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2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Енабердино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92639418101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2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Кураково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92639418106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2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Тойма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92639418111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2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Ашпайково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92639418116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2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Максимково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92639418121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2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Ижевка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92639423101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2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32.15.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Камаево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92639428101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2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Монашево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92639440101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2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32.17.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Ильнеть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92639440106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2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32.18.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Новый </w:t>
            </w:r>
            <w:proofErr w:type="spellStart"/>
            <w:r>
              <w:rPr>
                <w:sz w:val="28"/>
                <w:szCs w:val="28"/>
              </w:rPr>
              <w:t>Кокшан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92639440111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2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 </w:t>
            </w:r>
            <w:proofErr w:type="spellStart"/>
            <w:r>
              <w:rPr>
                <w:sz w:val="28"/>
                <w:szCs w:val="28"/>
              </w:rPr>
              <w:t>Актазики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92639440116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2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32.20.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Татарский </w:t>
            </w:r>
            <w:proofErr w:type="spellStart"/>
            <w:r>
              <w:rPr>
                <w:sz w:val="28"/>
                <w:szCs w:val="28"/>
              </w:rPr>
              <w:t>Кокшан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92639440121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2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32.21.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Мунайка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92639441101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2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32.22.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Псеево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92639443101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2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32.23.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Татарский </w:t>
            </w:r>
            <w:proofErr w:type="spellStart"/>
            <w:r>
              <w:rPr>
                <w:sz w:val="28"/>
                <w:szCs w:val="28"/>
              </w:rPr>
              <w:t>Сарсаз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92639443106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2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32.24.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Куразово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92639443111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2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32.25.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Тукай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92639443116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2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Старое Гришкино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92639464101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2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32.27.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Илькино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92639464106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2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32.28.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Карманково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92639464111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2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32.29.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Татарские Челны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92639480101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2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32.30.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Тихоново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92639483101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2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32.31.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Салтыковка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92639483106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2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32.32.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Тойгузино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92639485101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2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32.33.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Русский </w:t>
            </w:r>
            <w:proofErr w:type="spellStart"/>
            <w:r>
              <w:rPr>
                <w:sz w:val="28"/>
                <w:szCs w:val="28"/>
              </w:rPr>
              <w:t>Сарсаз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92639485106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2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32.34.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Тураево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92639488101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2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>
            <w:pPr>
              <w:ind w:right="-111" w:hanging="111"/>
              <w:jc w:val="center"/>
              <w:outlineLvl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32.35.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firstLineChars="200" w:firstLine="56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Татарский </w:t>
            </w:r>
            <w:proofErr w:type="spellStart"/>
            <w:r>
              <w:rPr>
                <w:sz w:val="28"/>
                <w:szCs w:val="28"/>
              </w:rPr>
              <w:t>Ахтиял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ind w:left="-100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92639488106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2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Менделеевский».</w:t>
            </w:r>
          </w:p>
        </w:tc>
      </w:tr>
    </w:tbl>
    <w:p>
      <w:pPr>
        <w:pStyle w:val="10"/>
        <w:suppressAutoHyphens/>
        <w:spacing w:line="240" w:lineRule="auto"/>
        <w:ind w:right="-1"/>
        <w:rPr>
          <w:szCs w:val="28"/>
        </w:rPr>
      </w:pPr>
    </w:p>
    <w:p>
      <w:pPr>
        <w:pStyle w:val="10"/>
        <w:suppressAutoHyphens/>
        <w:spacing w:line="240" w:lineRule="auto"/>
        <w:ind w:right="-1" w:firstLine="709"/>
        <w:jc w:val="both"/>
        <w:rPr>
          <w:szCs w:val="28"/>
        </w:rPr>
      </w:pPr>
      <w:r>
        <w:rPr>
          <w:szCs w:val="28"/>
        </w:rPr>
        <w:t>в списке использованных сокращений слова «ПНП – прилегающий населенный пункт» заменить словами «ПТ – прилегающая территория».</w:t>
      </w:r>
    </w:p>
    <w:p>
      <w:pPr>
        <w:pStyle w:val="10"/>
        <w:suppressAutoHyphens/>
        <w:spacing w:line="240" w:lineRule="auto"/>
        <w:ind w:left="709" w:right="-1"/>
        <w:jc w:val="center"/>
        <w:rPr>
          <w:szCs w:val="28"/>
        </w:rPr>
      </w:pPr>
    </w:p>
    <w:p>
      <w:pPr>
        <w:pStyle w:val="10"/>
        <w:suppressAutoHyphens/>
        <w:spacing w:line="240" w:lineRule="auto"/>
        <w:ind w:left="709" w:right="-1"/>
        <w:jc w:val="center"/>
        <w:rPr>
          <w:szCs w:val="28"/>
        </w:rPr>
      </w:pPr>
    </w:p>
    <w:p>
      <w:pPr>
        <w:pStyle w:val="10"/>
        <w:suppressAutoHyphens/>
        <w:spacing w:line="240" w:lineRule="auto"/>
        <w:ind w:left="709" w:right="-1"/>
        <w:jc w:val="center"/>
        <w:rPr>
          <w:szCs w:val="28"/>
        </w:rPr>
      </w:pPr>
    </w:p>
    <w:p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Татарстан                                                                           А.В. Песошин</w:t>
      </w:r>
    </w:p>
    <w:p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>
      <w:pPr>
        <w:jc w:val="center"/>
        <w:rPr>
          <w:sz w:val="28"/>
          <w:szCs w:val="24"/>
        </w:rPr>
      </w:pPr>
      <w:r>
        <w:rPr>
          <w:sz w:val="28"/>
          <w:szCs w:val="24"/>
        </w:rPr>
        <w:t>ПОЯСНИТЕЛЬНАЯ ЗАПИСКА</w:t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проекту распоряжения Кабинета Министров Республики Татарстан </w:t>
      </w:r>
    </w:p>
    <w:p>
      <w:pPr>
        <w:jc w:val="both"/>
        <w:rPr>
          <w:rFonts w:eastAsiaTheme="minorHAnsi"/>
          <w:sz w:val="16"/>
          <w:szCs w:val="16"/>
          <w:lang w:eastAsia="en-US"/>
        </w:rPr>
      </w:pPr>
    </w:p>
    <w:p>
      <w:pPr>
        <w:jc w:val="both"/>
        <w:rPr>
          <w:rFonts w:eastAsiaTheme="minorHAnsi"/>
          <w:sz w:val="16"/>
          <w:szCs w:val="16"/>
          <w:lang w:eastAsia="en-US"/>
        </w:rPr>
      </w:pPr>
    </w:p>
    <w:p>
      <w:pPr>
        <w:jc w:val="both"/>
        <w:rPr>
          <w:rFonts w:eastAsiaTheme="minorHAnsi"/>
          <w:sz w:val="16"/>
          <w:szCs w:val="16"/>
          <w:lang w:eastAsia="en-US"/>
        </w:rPr>
      </w:pPr>
    </w:p>
    <w:p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Изменения в распоряжение Кабинета Министров Республики Татарстан                  от 22.02.2023 № 474-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р вносятся в целях</w:t>
      </w:r>
      <w:r>
        <w:rPr>
          <w:rFonts w:eastAsiaTheme="minorHAnsi"/>
          <w:sz w:val="28"/>
          <w:szCs w:val="28"/>
          <w:lang w:eastAsia="en-US"/>
        </w:rPr>
        <w:t xml:space="preserve"> приведения в соответствие Перечня опорных населенных пунктов и прилегающих территорий Республики Татарстан Методическим рекомендациям по критериям определения опорных населенных пунктов и прилегающих территорий, утвержденных распоряжением Правительства Российской Федерации от 23.12.2022 № 4132-р, с учетом предложений Минсельхоза России от 21.03.2023 № 10/301, а также во исполнение пункта 8 Протокола заседания Президиума (штаба) Правительственной комиссии по региональному развитию в Российской Федерации от 9 марта 2023 г. № 13.</w:t>
      </w:r>
    </w:p>
    <w:p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Из опорных населенных пунктов исключаются населенные пункты, расположенные на прилегающих территориях, но не входящие в муниципальный район, в которым расположен сам опорный населенный пункт, в том числе:</w:t>
      </w:r>
    </w:p>
    <w:p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населенные пункты Высокогорского муниципального района из опорного населенного пункта города Арск (строки 8.128. – 8.173.);</w:t>
      </w:r>
    </w:p>
    <w:p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населенные пункты Высокогорского муниципального района из опорного населенного пункта </w:t>
      </w:r>
      <w:proofErr w:type="spellStart"/>
      <w:r>
        <w:rPr>
          <w:rFonts w:eastAsiaTheme="minorHAnsi"/>
          <w:sz w:val="28"/>
          <w:szCs w:val="28"/>
          <w:lang w:eastAsia="en-US"/>
        </w:rPr>
        <w:t>с.Большая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Атня (строки 9.47. – 9.122.);</w:t>
      </w:r>
    </w:p>
    <w:p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населенные пункты Тукаевского муниципального района из опорного населенного пункта города Заинска (строки 14.86. – 14.116.);</w:t>
      </w:r>
    </w:p>
    <w:p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населенные пункты </w:t>
      </w:r>
      <w:proofErr w:type="spellStart"/>
      <w:r>
        <w:rPr>
          <w:rFonts w:eastAsiaTheme="minorHAnsi"/>
          <w:sz w:val="28"/>
          <w:szCs w:val="28"/>
          <w:lang w:eastAsia="en-US"/>
        </w:rPr>
        <w:t>Елабужского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района из опорного населенного пункта города </w:t>
      </w:r>
      <w:proofErr w:type="spellStart"/>
      <w:r>
        <w:rPr>
          <w:rFonts w:eastAsiaTheme="minorHAnsi"/>
          <w:sz w:val="28"/>
          <w:szCs w:val="28"/>
          <w:lang w:eastAsia="en-US"/>
        </w:rPr>
        <w:t>Мамадыш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(строки 18.130. – 18.169.);</w:t>
      </w:r>
    </w:p>
    <w:p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населенные пункты Тукаевского муниципального района из опорного населенного пункта города Мензелинск (строки 19.70. – 19.126.);</w:t>
      </w:r>
    </w:p>
    <w:p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населенные пункты Лениногорского муниципального района из опорного населенного пункта села Черемшан (строки 30.48. – 30.68.).</w:t>
      </w:r>
    </w:p>
    <w:p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Кроме того, в связи с обращением Менделеевского муниципального района в целях защиты лимитов финансирования за счет средств федерального бюджета утвержденный распоряжением Перечень опорных населенных пунктов и прилегающих территорий Республики Татарстан дополнен опорным населенным пунктом – город Менделеевск и 35 прилегающими к нему населенных пунктов.</w:t>
      </w:r>
    </w:p>
    <w:p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Принятие распоряжения не повлечет выделения дополнительных средств из федерального бюджета и бюджета Республики Татарстан. </w:t>
      </w:r>
    </w:p>
    <w:p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>
      <w:pPr>
        <w:pStyle w:val="10"/>
        <w:suppressAutoHyphens/>
        <w:spacing w:line="240" w:lineRule="auto"/>
        <w:ind w:left="709" w:right="-1"/>
        <w:jc w:val="center"/>
        <w:rPr>
          <w:szCs w:val="28"/>
        </w:rPr>
      </w:pPr>
    </w:p>
    <w:sectPr>
      <w:headerReference w:type="default" r:id="rId9"/>
      <w:headerReference w:type="first" r:id="rId10"/>
      <w:pgSz w:w="11906" w:h="16838" w:code="9"/>
      <w:pgMar w:top="567" w:right="1021" w:bottom="1276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1C8"/>
    <w:multiLevelType w:val="hybridMultilevel"/>
    <w:tmpl w:val="276E0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671C"/>
    <w:multiLevelType w:val="hybridMultilevel"/>
    <w:tmpl w:val="276E0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E3B42"/>
    <w:multiLevelType w:val="hybridMultilevel"/>
    <w:tmpl w:val="0D7464CA"/>
    <w:lvl w:ilvl="0" w:tplc="613E0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874A70"/>
    <w:multiLevelType w:val="hybridMultilevel"/>
    <w:tmpl w:val="6E0642B2"/>
    <w:lvl w:ilvl="0" w:tplc="C352CCE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AFA3C33"/>
    <w:multiLevelType w:val="hybridMultilevel"/>
    <w:tmpl w:val="56569B8C"/>
    <w:lvl w:ilvl="0" w:tplc="91ACF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F314AE"/>
    <w:multiLevelType w:val="hybridMultilevel"/>
    <w:tmpl w:val="634255B0"/>
    <w:lvl w:ilvl="0" w:tplc="2258E5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5335AA"/>
    <w:multiLevelType w:val="hybridMultilevel"/>
    <w:tmpl w:val="0BEEF5F6"/>
    <w:lvl w:ilvl="0" w:tplc="36FCD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F80557"/>
    <w:multiLevelType w:val="hybridMultilevel"/>
    <w:tmpl w:val="C13A4BC0"/>
    <w:lvl w:ilvl="0" w:tplc="42C6F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4424AFB"/>
    <w:multiLevelType w:val="hybridMultilevel"/>
    <w:tmpl w:val="D0CA78AA"/>
    <w:lvl w:ilvl="0" w:tplc="3D4CD7D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BF4BEC"/>
    <w:multiLevelType w:val="hybridMultilevel"/>
    <w:tmpl w:val="C390DE22"/>
    <w:lvl w:ilvl="0" w:tplc="1D76BE2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7EB3ED5"/>
    <w:multiLevelType w:val="multilevel"/>
    <w:tmpl w:val="72024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0C22C80-D632-4C30-8B9E-4788DD32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uiPriority w:val="99"/>
    <w:pPr>
      <w:spacing w:line="288" w:lineRule="auto"/>
    </w:pPr>
    <w:rPr>
      <w:sz w:val="28"/>
    </w:rPr>
  </w:style>
  <w:style w:type="paragraph" w:customStyle="1" w:styleId="a7">
    <w:name w:val="МФ РТ"/>
    <w:basedOn w:val="10"/>
    <w:link w:val="a8"/>
    <w:qFormat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uiPriority w:val="99"/>
    <w:rPr>
      <w:sz w:val="28"/>
    </w:rPr>
  </w:style>
  <w:style w:type="character" w:customStyle="1" w:styleId="a8">
    <w:name w:val="МФ РТ Знак"/>
    <w:basedOn w:val="11"/>
    <w:link w:val="a7"/>
    <w:rPr>
      <w:sz w:val="28"/>
      <w:lang w:val="en-US"/>
    </w:rPr>
  </w:style>
  <w:style w:type="character" w:styleId="a9">
    <w:name w:val="Hyperlink"/>
    <w:basedOn w:val="a0"/>
    <w:rPr>
      <w:color w:val="0000FF"/>
      <w:u w:val="single"/>
    </w:rPr>
  </w:style>
  <w:style w:type="paragraph" w:styleId="aa">
    <w:name w:val="Balloon Text"/>
    <w:basedOn w:val="a"/>
    <w:link w:val="ab"/>
    <w:uiPriority w:val="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</w:style>
  <w:style w:type="paragraph" w:customStyle="1" w:styleId="12">
    <w:name w:val="Стиль1"/>
    <w:basedOn w:val="a"/>
    <w:link w:val="13"/>
    <w:qFormat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Pr>
      <w:sz w:val="28"/>
    </w:rPr>
  </w:style>
  <w:style w:type="table" w:styleId="ac">
    <w:name w:val="Table Grid"/>
    <w:basedOn w:val="a1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Body Text Indent"/>
    <w:basedOn w:val="a"/>
    <w:link w:val="af0"/>
    <w:unhideWhenUsed/>
    <w:pPr>
      <w:spacing w:after="120"/>
      <w:ind w:left="283"/>
    </w:pPr>
    <w:rPr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Pr>
      <w:sz w:val="24"/>
      <w:szCs w:val="24"/>
    </w:rPr>
  </w:style>
  <w:style w:type="paragraph" w:customStyle="1" w:styleId="af1">
    <w:basedOn w:val="a"/>
    <w:next w:val="af2"/>
    <w:link w:val="af3"/>
    <w:uiPriority w:val="10"/>
    <w:qFormat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af3">
    <w:name w:val="Название Знак"/>
    <w:link w:val="af1"/>
    <w:uiPriority w:val="10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af2">
    <w:name w:val="Title"/>
    <w:basedOn w:val="a"/>
    <w:next w:val="a"/>
    <w:link w:val="af4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5">
    <w:name w:val="Plain Text"/>
    <w:basedOn w:val="a"/>
    <w:link w:val="af6"/>
    <w:uiPriority w:val="99"/>
    <w:semiHidden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semiHidden/>
    <w:rPr>
      <w:rFonts w:ascii="Consolas" w:eastAsia="Calibri" w:hAnsi="Consolas"/>
      <w:sz w:val="21"/>
      <w:szCs w:val="21"/>
      <w:lang w:eastAsia="en-US"/>
    </w:rPr>
  </w:style>
  <w:style w:type="table" w:customStyle="1" w:styleId="14">
    <w:name w:val="Сетка таблицы1"/>
    <w:basedOn w:val="a1"/>
    <w:next w:val="ac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Emphasis"/>
    <w:basedOn w:val="a0"/>
    <w:uiPriority w:val="20"/>
    <w:qFormat/>
    <w:rPr>
      <w:i/>
      <w:iCs/>
    </w:rPr>
  </w:style>
  <w:style w:type="paragraph" w:customStyle="1" w:styleId="text-content">
    <w:name w:val="text-conten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message-time">
    <w:name w:val="message-time"/>
    <w:basedOn w:val="a0"/>
  </w:style>
  <w:style w:type="character" w:customStyle="1" w:styleId="a6">
    <w:name w:val="Нижний колонтитул Знак"/>
    <w:basedOn w:val="a0"/>
    <w:link w:val="a5"/>
    <w:uiPriority w:val="99"/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4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nar.Kalimullin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41;&#1083;&#1072;&#1085;&#1082;%20&#1052;&#1060;%20&#1056;&#1058;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6F891-3CE2-47DC-91CB-92478AF9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МФ РТ14</Template>
  <TotalTime>0</TotalTime>
  <Pages>4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6853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user</dc:creator>
  <cp:lastModifiedBy>YuristMCX</cp:lastModifiedBy>
  <cp:revision>2</cp:revision>
  <cp:lastPrinted>2023-01-05T07:00:00Z</cp:lastPrinted>
  <dcterms:created xsi:type="dcterms:W3CDTF">2023-04-07T06:38:00Z</dcterms:created>
  <dcterms:modified xsi:type="dcterms:W3CDTF">2023-04-07T06:38:00Z</dcterms:modified>
</cp:coreProperties>
</file>