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замечаний и предложений: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Ибрагимов Рамазан Рафисович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Заместитель начальника отдела развития продовольственного рынка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Телефон: +7 (843) 221-76-23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Email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Ramazan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Ibragimov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@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tatar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ru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Калимуллин Ильнар Ирекович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Адрес: г. Казань, ул.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 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Федосеевская, 36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Телефон: +7 (843) 221-76-14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E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mail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 xml:space="preserve">: </w:t>
      </w:r>
      <w:hyperlink r:id="rId6" w:history="1"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Ilnar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eastAsia="en-US"/>
          </w:rPr>
          <w:t>.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Kalimullin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eastAsia="en-US"/>
          </w:rPr>
          <w:t>@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tatar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eastAsia="en-US"/>
          </w:rPr>
          <w:t>.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ru</w:t>
        </w:r>
      </w:hyperlink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253"/>
          <w:tab w:val="left" w:pos="5387"/>
        </w:tabs>
        <w:spacing w:after="0" w:line="240" w:lineRule="auto"/>
        <w:ind w:right="6094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 внесении изменений в постановление Кабинета Министров Республики Татарстан </w:t>
      </w:r>
      <w:r>
        <w:rPr>
          <w:rFonts w:ascii="Times New Roman" w:hAnsi="Times New Roman"/>
          <w:sz w:val="28"/>
        </w:rPr>
        <w:br/>
        <w:t xml:space="preserve">от 30.06.2021 № 514 «О мерах  </w:t>
      </w:r>
    </w:p>
    <w:p>
      <w:pPr>
        <w:tabs>
          <w:tab w:val="left" w:pos="4253"/>
          <w:tab w:val="left" w:pos="5387"/>
        </w:tabs>
        <w:spacing w:after="0" w:line="240" w:lineRule="auto"/>
        <w:ind w:right="60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поддержки агропромышленного комплекса по отдельным направлениям»</w:t>
      </w:r>
      <w:bookmarkEnd w:id="0"/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</w:t>
      </w:r>
      <w:r>
        <w:rPr>
          <w:rFonts w:ascii="Times New Roman" w:hAnsi="Times New Roman"/>
          <w:sz w:val="28"/>
        </w:rPr>
        <w:t xml:space="preserve"> постановление Кабинета</w:t>
      </w:r>
      <w:r>
        <w:rPr>
          <w:rFonts w:ascii="PT Astra Serif" w:hAnsi="PT Astra Serif"/>
          <w:sz w:val="28"/>
        </w:rPr>
        <w:t xml:space="preserve"> Министров Республики Татарстан </w:t>
      </w:r>
      <w:r>
        <w:rPr>
          <w:rFonts w:ascii="PT Astra Serif" w:hAnsi="PT Astra Serif"/>
          <w:sz w:val="28"/>
        </w:rPr>
        <w:br/>
        <w:t>от 30.06.2021 № 514 «О мерах государственной поддержки агропромышленного комплекса по отдельным направлениям» (с изменениями, внесенными постановлением Кабинета Министров Республики Татарстан от 05.08.2021 № 680, от 31.08.2021 № 788,от 07.09.2021 № 835, от 25.11.2021 № 1127, от 22.12.2021 № 1266, от 15.03.2022 № 240, от 22.07.2022 № 707, от 16.09.2022 № 1009, от 13.12.2022 № 1319, от 21.12.2022 № 1389, от 21.02.2023 № 168) следующие изменения: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девятнадцатый пункта 1 после слова «комплекса» дополнить словами </w:t>
      </w:r>
      <w:r>
        <w:rPr>
          <w:rFonts w:ascii="Times New Roman" w:hAnsi="Times New Roman"/>
          <w:sz w:val="28"/>
        </w:rPr>
        <w:br/>
        <w:t>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 xml:space="preserve">в </w:t>
      </w:r>
      <w:r>
        <w:rPr>
          <w:rFonts w:ascii="Times New Roman" w:hAnsi="Times New Roman"/>
          <w:sz w:val="28"/>
        </w:rPr>
        <w:t>Порядке предоставления из бюджета Республики Татарстан субсидии сельскохозяйственным товаропроизводителям на возмещение части прямых понесенных затрат</w:t>
      </w:r>
      <w:r>
        <w:rPr>
          <w:rFonts w:ascii="PT Astra Serif" w:hAnsi="PT Astra Serif"/>
          <w:sz w:val="28"/>
        </w:rPr>
        <w:t xml:space="preserve"> на создание и (или) модернизацию объектов агропромышленного комплекса, софинансирумой из федерального бюджета</w:t>
      </w:r>
      <w:r>
        <w:rPr>
          <w:rFonts w:ascii="Times New Roman" w:hAnsi="Times New Roman"/>
          <w:sz w:val="28"/>
        </w:rPr>
        <w:t>, утвержденном указанным постановлением: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после слова «комплекса» дополнить словами 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в пункте 1: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абзаце первом слова «(или) российским» заменить словом «российским», после слова «комплекса» дополнить словами «, </w:t>
      </w:r>
      <w:r>
        <w:rPr>
          <w:rFonts w:ascii="Times New Roman" w:hAnsi="Times New Roman"/>
          <w:sz w:val="28"/>
        </w:rPr>
        <w:t>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>
        <w:rPr>
          <w:rFonts w:ascii="PT Astra Serif" w:hAnsi="PT Astra Serif"/>
          <w:sz w:val="28"/>
        </w:rPr>
        <w:t>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восьмой изложить в следующей редакции: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«е) создание и модернизация мощностей по производству сухих молочных продуктов для детского питания и компонентов для них,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организациям, в том числе организациям, осуществляющим производство и (или) первичную и (или) последующую (промышленную) переработку сельскохозяйственной продукции и ее реализацию;»;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абзацами следующего содержания: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«ж) приобретение маркировочного оборудования и ввод его в эксплуатацию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организациями,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на молочную продукцию и выпуск ее в оборот.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прямых понесенных затрат осуществляется исходя из суммы расходов на цели, указанные в настоящем пункте, включая сумму налога на добавленную стоимость.»;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 xml:space="preserve">абзац второй пункта 2 </w:t>
      </w:r>
      <w:r>
        <w:rPr>
          <w:rFonts w:ascii="Times New Roman" w:hAnsi="Times New Roman"/>
          <w:sz w:val="28"/>
        </w:rPr>
        <w:t>после слова «комплекса» дополнить словами 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пункт 5 дополнить абзацами следующего содержания: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 направлению, указанному в подпункте «е» пункта 1 настоящего Порядка: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наличие полного цикла производственного процесса от переработки сырого молока и (или) вторичного молочного сырья и других компонентов до получения сухих адаптированных молочных смесей (заменителей женского молока) и (или сухой) «молочной основы»;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производство готовой продукции из коровьего молока и (или) вторичного молочного сырья и других компонентов, произведенных на территории Российской Федерации;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объем коровьего молока и (или) вторичного молочного сырья и других компонентов, произведенных на территории Российской Федерации, в готовой продукции должен составлять не менее 70% (в пересчете на сухое вещество);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для предприятий по производству сухой деминерализованной сыворотки с уровнем деминерализации 90%: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lastRenderedPageBreak/>
        <w:t xml:space="preserve">наличие полного цикла производственного процесса от переработки вторичного молочного сырья (сыворотки), состоящего из не менее 70% компонентов, произведенных на территории Российской Федерации, до получения сухой деминерализованной сыворотки с уровнем деминерализации 90% (Д90). 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направлению, указанному в подпункте «ж» пункта 1 настоящего Порядка: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затраты на маркировочное оборудование произведены в 2021 - 2023 годах, маркировочное оборудование введено в эксплуатацию не позднее дня представления заявки на соответствующий финансовый год;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документов, подтверждающих приобретение маркировочного оборудования, и акта ввода его в эксплуатацию.»;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8: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пятый изложить в следующей редакции: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 направлениям, указанным в подпунктах «а»-«е» пункта 1 настоящего Порядка:»;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абзацы шестой и седьмой изложить в следующей редакции: 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«копии договоров подряда на строительство и (или) модернизацию объектов агропромышленного комплекса;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справок по статистической форме № КС-2 «Акт о приемке выполненных работ», согласованных с организацией, осуществляющей строительный контроль и копии справок по статистической форме № КС-3 «Справка о стоимости выполненных работ и затрат»;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абзацы шестнадцатый и семнадцатый изложить в следующей редакции: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 направлению, указанному в подпункте «ж» пункта 1 настоящего Порядка: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договоров поставки (купли-продажи) маркировочного оборудования, приобретенных в 2021-2023 годах, товарной накладной, счета-фактуры, акта приема-передачи к договору поставки (купли-продажи), акта приема-передачи по форме                   № ОС-1, платежных поручений, подтверждающих оплату маркировочного оборудования;»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абзацами следующего содержания: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«копии акта ввода маркировочного оборудования в эксплуатацию;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справку-расчет для предоставления субсидии по форме, утвержденной приказом Министерства.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представленных документов должны быть заверены, документы подписаны руководителем и главным бухгалтером участника отбора и скреплены печатью (при наличии).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очередности.»; 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14: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tt-RU"/>
        </w:rPr>
        <w:t xml:space="preserve">в </w:t>
      </w:r>
      <w:r>
        <w:rPr>
          <w:rFonts w:ascii="Times New Roman" w:hAnsi="Times New Roman"/>
          <w:sz w:val="28"/>
        </w:rPr>
        <w:t>абзаце шестом цифры «21,0526» заменить цифрами «50»;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абзацами следующего содержания:</w:t>
      </w:r>
    </w:p>
    <w:p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«</w:t>
      </w:r>
      <w:r>
        <w:rPr>
          <w:rFonts w:ascii="Times New Roman" w:hAnsi="Times New Roman"/>
          <w:color w:val="auto"/>
          <w:sz w:val="28"/>
          <w:szCs w:val="28"/>
        </w:rPr>
        <w:t>по направлению, указанному в подпункте «е» пункта 1 настоящего Порядка (W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 xml:space="preserve">) (в тыс. рублей), определяется по следующей формуле: </w:t>
      </w:r>
    </w:p>
    <w:p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  </w:t>
      </w:r>
    </w:p>
    <w:p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 xml:space="preserve"> = Z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 xml:space="preserve"> x 21,0526 %, </w:t>
      </w:r>
    </w:p>
    <w:p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где Z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 xml:space="preserve"> - размер фактически понесенных затрат на создание и (или) модернизацию </w:t>
      </w:r>
      <w:r>
        <w:rPr>
          <w:rFonts w:ascii="Times New Roman" w:hAnsi="Times New Roman"/>
          <w:sz w:val="28"/>
        </w:rPr>
        <w:t>объектов по производству сухих молочных продуктов</w:t>
      </w:r>
      <w:r>
        <w:rPr>
          <w:rFonts w:ascii="Times New Roman" w:hAnsi="Times New Roman"/>
          <w:color w:val="auto"/>
          <w:sz w:val="28"/>
          <w:szCs w:val="28"/>
        </w:rPr>
        <w:t>, строительство и (или) модернизация которых начаты не более чем за три года, предшествующих году предоставления субсидии за вычетом налога на добавленную стоимость, но не выше предельной стоимости объекта;</w:t>
      </w:r>
    </w:p>
    <w:p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auto"/>
          <w:sz w:val="28"/>
          <w:szCs w:val="28"/>
        </w:rPr>
        <w:t>по направлению, указанному в подпункте «ж» пункта 1 настоящего Порядка (W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mark</w:t>
      </w:r>
      <w:r>
        <w:rPr>
          <w:rFonts w:ascii="Times New Roman" w:hAnsi="Times New Roman"/>
          <w:color w:val="auto"/>
          <w:sz w:val="28"/>
          <w:szCs w:val="28"/>
        </w:rPr>
        <w:t xml:space="preserve">) (в тыс. рублей), определяется по следующей формуле: </w:t>
      </w:r>
    </w:p>
    <w:p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  </w:t>
      </w:r>
    </w:p>
    <w:p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mark</w:t>
      </w:r>
      <w:r>
        <w:rPr>
          <w:rFonts w:ascii="Times New Roman" w:hAnsi="Times New Roman"/>
          <w:color w:val="auto"/>
          <w:sz w:val="28"/>
          <w:szCs w:val="28"/>
        </w:rPr>
        <w:t xml:space="preserve"> = Z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mark</w:t>
      </w:r>
      <w:r>
        <w:rPr>
          <w:rFonts w:ascii="Times New Roman" w:hAnsi="Times New Roman"/>
          <w:color w:val="auto"/>
          <w:sz w:val="28"/>
          <w:szCs w:val="28"/>
        </w:rPr>
        <w:t xml:space="preserve"> x 73,6842 %, </w:t>
      </w:r>
    </w:p>
    <w:p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где Z</w:t>
      </w:r>
      <w:r>
        <w:rPr>
          <w:rFonts w:ascii="Times New Roman" w:hAnsi="Times New Roman"/>
          <w:color w:val="auto"/>
          <w:sz w:val="28"/>
          <w:szCs w:val="28"/>
          <w:vertAlign w:val="subscript"/>
          <w:lang w:val="en-US"/>
        </w:rPr>
        <w:t>mark</w:t>
      </w:r>
      <w:r>
        <w:rPr>
          <w:rFonts w:ascii="Times New Roman" w:hAnsi="Times New Roman"/>
          <w:color w:val="auto"/>
          <w:sz w:val="28"/>
          <w:szCs w:val="28"/>
        </w:rPr>
        <w:t xml:space="preserve"> - размер фактически понесенных затрат на приобретение маркировочного оборудования в 2021 – 2023 годах, но не выше предельной стоимости маркировочного оборудования. 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Предельная стоимость маркировочного оборудования определяется исходя из предельного значения стоимости единицы мощности маркировочного оборудования, устанавливаемого Министерством сельского хозяйства Российской Федерации по согласованию с Министерством экономического развития Российской Федерации и Министерством финансов Российской Федерации»;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15: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шестой изложить в следующей редакции: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 направлению, указанному в подпункте «е» пункта 1 настоящего Порядка:»;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абзацами следующего содержания: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«объем введенных в год предоставления субсидии, а также трех лет, предшествующих году предоставления субсидии, мощностей по производству сухих молочных смесей и их компонентов (тыс. тонн);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произведенных сухих молочных смесей и их компонентов (тыс. тонн);</w:t>
      </w:r>
    </w:p>
    <w:p>
      <w:pPr>
        <w:tabs>
          <w:tab w:val="left" w:pos="2232"/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направлению, указанному в подпункте «ж» пункта 1 настоящего Порядка, - 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продукции, в году предоставления субсидии, а также в годах, предшествующих году предоставления субсидии (тыс. штук);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пункте 16 после слова «объекта» дополнить словами «(маркировочного оборудования)».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                                                                                    А.В.Песошин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</w:rPr>
        <w:br/>
        <w:t>«О внесении изменений в постановление Кабинета Министров Республики Татарстан от 30.06.2021 № 514 «О мерах  государственной поддержки агропромышленного комплекса по отдельным направлениям» разработан Министерством сельского хозяйства и продовольствия Республики Татарстан в соответствии с постановлением Правительства Российской Федерации  от 24 ноября 2018 г. № 1413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продукции», поручени</w:t>
      </w:r>
      <w:r>
        <w:rPr>
          <w:rFonts w:ascii="Times New Roman" w:hAnsi="Times New Roman"/>
          <w:sz w:val="28"/>
          <w:lang w:val="tt-RU"/>
        </w:rPr>
        <w:t>ями</w:t>
      </w:r>
      <w:r>
        <w:rPr>
          <w:rFonts w:ascii="Times New Roman" w:hAnsi="Times New Roman"/>
          <w:sz w:val="28"/>
        </w:rPr>
        <w:t xml:space="preserve"> Раиса Республики Татарстан № 14473-МР от 30.03.2023 и № 10101-МР от 04.03.2023.</w:t>
      </w:r>
    </w:p>
    <w:p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/>
    <w:sectPr>
      <w:headerReference w:type="default" r:id="rId7"/>
      <w:pgSz w:w="11906" w:h="16838"/>
      <w:pgMar w:top="1134" w:right="567" w:bottom="1134" w:left="1134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4D579-9962-4469-8FA1-811A1A46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2"/>
    <w:link w:val="a3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5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2"/>
    <w:link w:val="a5"/>
    <w:rPr>
      <w:sz w:val="22"/>
    </w:rPr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2"/>
    <w:link w:val="a6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List"/>
    <w:basedOn w:val="a9"/>
    <w:link w:val="aa"/>
    <w:rPr>
      <w:rFonts w:ascii="PT Astra Serif" w:hAnsi="PT Astra Serif"/>
    </w:rPr>
  </w:style>
  <w:style w:type="character" w:customStyle="1" w:styleId="aa">
    <w:name w:val="Список Знак"/>
    <w:basedOn w:val="ab"/>
    <w:link w:val="a8"/>
    <w:rPr>
      <w:rFonts w:ascii="PT Astra Serif" w:hAnsi="PT Astra Serif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аголовок1"/>
    <w:basedOn w:val="a"/>
    <w:next w:val="a9"/>
    <w:link w:val="1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7">
    <w:name w:val="Заголовок1"/>
    <w:basedOn w:val="12"/>
    <w:link w:val="16"/>
    <w:rPr>
      <w:rFonts w:ascii="PT Astra Serif" w:hAnsi="PT Astra Serif"/>
      <w:sz w:val="28"/>
    </w:rPr>
  </w:style>
  <w:style w:type="paragraph" w:customStyle="1" w:styleId="18">
    <w:name w:val="Обычный1"/>
    <w:link w:val="1"/>
    <w:rPr>
      <w:sz w:val="22"/>
    </w:rPr>
  </w:style>
  <w:style w:type="character" w:customStyle="1" w:styleId="1">
    <w:name w:val="Обычный1"/>
    <w:link w:val="18"/>
    <w:rPr>
      <w:sz w:val="22"/>
    </w:rPr>
  </w:style>
  <w:style w:type="paragraph" w:customStyle="1" w:styleId="23">
    <w:name w:val="Гиперссылка2"/>
    <w:link w:val="ac"/>
    <w:rPr>
      <w:color w:val="0000FF"/>
      <w:u w:val="single"/>
    </w:rPr>
  </w:style>
  <w:style w:type="character" w:styleId="ac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2"/>
    <w:link w:val="ad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Текст выноски Знак"/>
    <w:basedOn w:val="1b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c"/>
    <w:link w:val="af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Основной шрифт абзаца1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Balloon Text"/>
    <w:basedOn w:val="a"/>
    <w:link w:val="1e"/>
    <w:pPr>
      <w:spacing w:after="0" w:line="240" w:lineRule="auto"/>
    </w:pPr>
    <w:rPr>
      <w:rFonts w:ascii="Tahoma" w:hAnsi="Tahoma"/>
      <w:sz w:val="16"/>
    </w:rPr>
  </w:style>
  <w:style w:type="character" w:customStyle="1" w:styleId="1e">
    <w:name w:val="Текст выноски Знак1"/>
    <w:basedOn w:val="12"/>
    <w:link w:val="af1"/>
    <w:rPr>
      <w:rFonts w:ascii="Tahoma" w:hAnsi="Tahoma"/>
      <w:sz w:val="16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9"/>
    <w:rPr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2"/>
    <w:link w:val="af4"/>
    <w:rPr>
      <w:rFonts w:ascii="PT Astra Serif" w:hAnsi="PT Astra Serif"/>
      <w:sz w:val="22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paragraph" w:customStyle="1" w:styleId="af8">
    <w:name w:val="Верхний колонтитул Знак"/>
    <w:basedOn w:val="1b"/>
    <w:link w:val="af9"/>
  </w:style>
  <w:style w:type="character" w:customStyle="1" w:styleId="af9">
    <w:name w:val="Верхний колонтитул Знак"/>
    <w:basedOn w:val="1c"/>
    <w:link w:val="af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Рамазан</dc:creator>
  <cp:lastModifiedBy>YuristMCX</cp:lastModifiedBy>
  <cp:revision>2</cp:revision>
  <cp:lastPrinted>2023-04-03T13:02:00Z</cp:lastPrinted>
  <dcterms:created xsi:type="dcterms:W3CDTF">2023-04-07T06:48:00Z</dcterms:created>
  <dcterms:modified xsi:type="dcterms:W3CDTF">2023-04-07T06:48:00Z</dcterms:modified>
</cp:coreProperties>
</file>