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Контактные лица для направления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замечаний и предложений: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Низаева Гулия Надировна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Ведущий специалист отдела инвестиционной политики и целевых программ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Телефон: +7 (843) 221-76-88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ru-RU" w:bidi="ar-SA"/>
        </w:rPr>
        <w:t>Email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: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lang w:eastAsia="ru-RU" w:bidi="ar-SA"/>
        </w:rPr>
        <w:t>guliya.nizaeva@tatarstan.ru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Калимуллин Ильнар Ирекович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Начальник юридического отдела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Адрес: г. Казань, ул.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ru-RU" w:bidi="ar-SA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Федосеевская, 36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Телефон: +7 (843) 221-76-14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ru-RU" w:bidi="ar-SA"/>
        </w:rPr>
        <w:t>E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-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ru-RU" w:bidi="ar-SA"/>
        </w:rPr>
        <w:t>mail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: </w:t>
      </w:r>
      <w:hyperlink r:id="rId6" w:history="1"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ru-RU" w:bidi="ar-SA"/>
          </w:rPr>
          <w:t>Ilnar</w:t>
        </w:r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 w:bidi="ar-SA"/>
          </w:rPr>
          <w:t>.</w:t>
        </w:r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ru-RU" w:bidi="ar-SA"/>
          </w:rPr>
          <w:t>Kalimullin</w:t>
        </w:r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 w:bidi="ar-SA"/>
          </w:rPr>
          <w:t>@</w:t>
        </w:r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ru-RU" w:bidi="ar-SA"/>
          </w:rPr>
          <w:t>tatar</w:t>
        </w:r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 w:bidi="ar-SA"/>
          </w:rPr>
          <w:t>.</w:t>
        </w:r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ru-RU" w:bidi="ar-SA"/>
          </w:rPr>
          <w:t>ru</w:t>
        </w:r>
      </w:hyperlink>
    </w:p>
    <w:p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5102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8"/>
        </w:rPr>
        <w:t>О внесении изменений в 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Внести в постановление Кабинета Министров Республики Татарстан</w:t>
      </w:r>
      <w:r>
        <w:rPr>
          <w:rFonts w:ascii="Times New Roman" w:hAnsi="Times New Roman"/>
          <w:sz w:val="28"/>
          <w:highlight w:val="white"/>
        </w:rPr>
        <w:br/>
        <w:t>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 (с изменениями, внесенными постановлением Кабинета Министров Республики Татарстан от 04.08.2022  № 760) следующие изменения: 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 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«Порядок п</w:t>
      </w:r>
      <w:bookmarkStart w:id="1" w:name="_GoBack11"/>
      <w:bookmarkEnd w:id="1"/>
      <w:r>
        <w:rPr>
          <w:rFonts w:ascii="Times New Roman" w:hAnsi="Times New Roman"/>
          <w:sz w:val="28"/>
          <w:highlight w:val="white"/>
        </w:rPr>
        <w:t>редоставления субсидии из бюджета Республики Татарстан сельскохозяйственным товаропроизводителям и предприятиям потребительской кооперации на возмещение части затрат, связанных с выполнением работ по строительству (реконструкции) овощехранилищ, плодохранилищ и картофелехранилищ.»;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хозяйств, утвержденном указанным постановлением: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 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«Условием предоставления субсидии является обязательство о не отчуждении объекта зернотокового хозяйства в течение трех лет следующих за годом получения субсидии.»;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второй пункта 2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третий пункта 4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6: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первый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«6. Участник отбора на дату, не превышающую 15 рабочих дней до даты подачи заявки, должен соответствовать следующим требованиям:»;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пятый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7: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третий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«выписку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четвертый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«справку налогового органа, подтверждающую отсутствие неисполненной </w:t>
      </w:r>
      <w:r>
        <w:rPr>
          <w:rFonts w:ascii="Times New Roman" w:hAnsi="Times New Roman"/>
          <w:sz w:val="28"/>
          <w:highlight w:val="white"/>
        </w:rPr>
        <w:lastRenderedPageBreak/>
        <w:t>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девятый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«копию разрешения на строительство (реконструкцию) зернотоковых хозяйств, выданного исполнительным комитетом муниципального района или городского округа по месту нахождения земельного участка;»;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семнадцатый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«копию разрешения на ввод объекта в эксплуатацию, выданного исполнительным комитетом муниципального района или городского округа не ранее отчетного года;»;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восемнадцатый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«выписку из Единого государственного реестра недвижимости об основных характеристиках и зарегистрированных правах на объекты зернотокового хозяйства в отчетном и (или) текущем финансовых годах, выданную не ранее чем за 30 календарных дней до дня подачи заявки;»;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двадцать восьмой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«выписку из Единого государственного реестра недвижимости об основных характеристиках и зарегистрированных правах на объекты зернотокового хозяйства в отчетном и (или) текущем финансовых годах, выданную не ранее чем за 30 календарных дней до дня подачи заявки.»;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четвертый пункта 10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14: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второй изложить в следующей редакции:</w:t>
      </w:r>
    </w:p>
    <w:p>
      <w:pPr>
        <w:spacing w:after="0" w:line="240" w:lineRule="auto"/>
        <w:ind w:firstLine="567"/>
        <w:jc w:val="center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«W = P × 0,3 ,»;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абзацы четвертый и пятый признать утратившими силу;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абзацах шестом слово «объекта» заменить словом «объектов»;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седьмом слово «объекта» заменить словом «объектов»;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15: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втором слова «на 31 декабря текущего финансового года</w:t>
      </w:r>
      <w:r>
        <w:rPr>
          <w:rFonts w:ascii="Times New Roman" w:hAnsi="Times New Roman"/>
          <w:sz w:val="24"/>
          <w:highlight w:val="white"/>
        </w:rPr>
        <w:t xml:space="preserve">» </w:t>
      </w:r>
      <w:r>
        <w:rPr>
          <w:rFonts w:ascii="Times New Roman" w:hAnsi="Times New Roman"/>
          <w:sz w:val="28"/>
          <w:highlight w:val="white"/>
        </w:rPr>
        <w:t xml:space="preserve">заменить словами «на дату подачи заявки»;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третьем слова «на 31 декабря текущего финансового года</w:t>
      </w:r>
      <w:r>
        <w:rPr>
          <w:rFonts w:ascii="Times New Roman" w:hAnsi="Times New Roman"/>
          <w:sz w:val="24"/>
          <w:highlight w:val="white"/>
        </w:rPr>
        <w:t xml:space="preserve">» </w:t>
      </w:r>
      <w:r>
        <w:rPr>
          <w:rFonts w:ascii="Times New Roman" w:hAnsi="Times New Roman"/>
          <w:sz w:val="28"/>
          <w:highlight w:val="white"/>
        </w:rPr>
        <w:t>заменить словами «на дату подачи заявки»;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16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«16. Получатель субсидии представляет в Министерство: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отчет о достижении значений результатов предоставления субсидии не позднее трех рабочих дней со дня заключения соглашения по форме, прилагаемой к типовой форме соглашения, установленной Министерством финансов Республики Татарстан; 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не позднее 1 февраля года, наступившего по истечении трех лет после года предоставления субсидии, выписку из Единого государственного реестра недвижимости об основных характеристиках и зарегистрированных правах на  объекты зернотокового хозяйства на строительство (реконструкцию) и капитальный </w:t>
      </w:r>
      <w:r>
        <w:rPr>
          <w:rFonts w:ascii="Times New Roman" w:hAnsi="Times New Roman"/>
          <w:sz w:val="28"/>
          <w:highlight w:val="white"/>
        </w:rPr>
        <w:lastRenderedPageBreak/>
        <w:t>ремонт которых предоставлена субсидия, выданную не ранее чем за 30 календарных дней до указанного срока.»;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17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«17. Предоставленная субсидия подлежит возврату в полном объеме в доход бюджета Республики Татарстан в 30-дневный срок, исчисляемый в календарных днях,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непредставления отчета о достижении значений результатов предоставления субсидии, недостижения значений результатов предоставления субсидии.»;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пункт 20 признать утратившим силу;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кормовых центров, утвержденном указанным постановлением: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 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«Условием предоставления субсидии является обязательство о не отчуждении кормового центра в течение трех лет следующих за годом получения субсидии.»;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второй пункта 2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третий пункта 4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6: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первый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«6. Участник отбора на дату, не превышающую 15 рабочих дней до даты подачи заявки, должен соответствовать следующим требованиям:»;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пятый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</w:t>
      </w:r>
      <w:r>
        <w:rPr>
          <w:rFonts w:ascii="Times New Roman" w:hAnsi="Times New Roman"/>
          <w:sz w:val="28"/>
          <w:highlight w:val="white"/>
        </w:rPr>
        <w:lastRenderedPageBreak/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7: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третий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«выписку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четвертый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восьмой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«копию разрешения на строительство кормовых центров, выданного исполнительным комитетом муниципального района или городского округа по месту нахождения земельного участка;»;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шестнадцатый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«копию разрешения на ввод объекта в эксплуатацию, выданного исполнительным комитетом муниципального района или городского округа не ранее отчетного года;»;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семнадцатый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«выписку из Единого государственного реестра недвижимости об основных характеристиках и зарегистрированных правах на кормовые центры в отчетном и (или) текущем финансовых годах, выданную не ранее чем за 30 календарных дней до дня подачи заявки;»;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четвертый пункта 10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14: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второй изложить в следующей редакции:</w:t>
      </w:r>
    </w:p>
    <w:p>
      <w:pPr>
        <w:spacing w:after="0" w:line="240" w:lineRule="auto"/>
        <w:ind w:firstLine="567"/>
        <w:jc w:val="center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«W = P × 0,3 ,»;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абзацы четвертый и пятый признать утратившими силу;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шестом слова «кормового центра» заменить словами «кормовых центров»;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седьмом слова «кормового центра» заменить словами «кормовых центров»;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в абзаце первом пункта 15 слова «на 31 декабря текущего финансового года</w:t>
      </w:r>
      <w:r>
        <w:rPr>
          <w:rFonts w:ascii="Times New Roman" w:hAnsi="Times New Roman"/>
          <w:sz w:val="24"/>
          <w:highlight w:val="white"/>
        </w:rPr>
        <w:t xml:space="preserve">» </w:t>
      </w:r>
      <w:r>
        <w:rPr>
          <w:rFonts w:ascii="Times New Roman" w:hAnsi="Times New Roman"/>
          <w:sz w:val="28"/>
          <w:highlight w:val="white"/>
        </w:rPr>
        <w:t>заменить словами «на дату подачи заявки»;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16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«16. Получатель субсидии представляет в Министерство: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отчет о достижении значений результатов предоставления субсидии не позднее трех рабочих дней со дня заключения соглашения по форме, прилагаемой к типовой форме соглашения, установленной Министерством финансов Республики Татарстан; 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не позднее 1 февраля года, наступившего по истечении трех лет после года предоставления субсидии, выписку из Единого государственного реестра недвижимости об основных характеристиках и зарегистрированных правах на  кормовые центры на строительство которых предоставлена субсидия, выданную не ранее чем за 30 календарных дней до указанного срока.»;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17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«17. Предоставленная субсидия подлежит возврату в полном объеме в доход бюджета Республики Татарстан в 30-дневный срок, исчисляемый в календарных днях,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непредставления отчета о достижении значений результатов предоставления субсидии, недостижения значений результатов предоставления субсидии.»;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пункт 20 признать утратившим силу;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блоков, утвержденном указанным постановлением: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второй пункта 1 признать утратившим силу;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второй пункта 2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третий пункта 4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6: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первый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«6. Участник отбора на дату, не превышающую 15 рабочих дней до даты подачи </w:t>
      </w:r>
      <w:r>
        <w:rPr>
          <w:rFonts w:ascii="Times New Roman" w:hAnsi="Times New Roman"/>
          <w:sz w:val="28"/>
          <w:highlight w:val="white"/>
        </w:rPr>
        <w:lastRenderedPageBreak/>
        <w:t>заявки, должен соответствовать следующим требованиям:»;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пятый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7: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третий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«выписку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четвертый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девятый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«копию разрешения на строительство доильно-молочных блоков, выданного исполнительным комитетом муниципального района или городского округа по месту нахождения земельного участка;»;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семнадцатый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«копию разрешения на ввод объекта в эксплуатацию, выданного исполнительным комитетом муниципального района или городского округа не ранее отчетного финансового года;»;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восемнадцатый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«выписку из Единого государственного реестра недвижимости об основных характеристиках и зарегистрированных правах на доильно-молочные блоки в отчетном и (или) текущем финансовых годах, выданную не ранее чем за 30 календарных дней до дня подачи заявки;»;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тридцатый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«выписку из Единого государственного реестра недвижимости об основных </w:t>
      </w:r>
      <w:r>
        <w:rPr>
          <w:rFonts w:ascii="Times New Roman" w:hAnsi="Times New Roman"/>
          <w:sz w:val="28"/>
          <w:highlight w:val="white"/>
        </w:rPr>
        <w:lastRenderedPageBreak/>
        <w:t>характеристиках и зарегистрированных правах на коровники мощностью не менее 200 голов в отчетном и (или) текущем финансовых годах, выданную не ранее чем за 30 календарных дней до дня подачи заявки;»;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четвертый пункта 10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14: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второй изложить в следующей редакции:</w:t>
      </w:r>
    </w:p>
    <w:p>
      <w:pPr>
        <w:spacing w:after="0" w:line="240" w:lineRule="auto"/>
        <w:ind w:firstLine="567"/>
        <w:jc w:val="center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«W = (P</w:t>
      </w:r>
      <w:r>
        <w:rPr>
          <w:rFonts w:ascii="Times New Roman" w:hAnsi="Times New Roman"/>
          <w:sz w:val="28"/>
          <w:highlight w:val="white"/>
          <w:vertAlign w:val="subscript"/>
        </w:rPr>
        <w:t>1</w:t>
      </w:r>
      <w:r>
        <w:rPr>
          <w:rFonts w:ascii="Times New Roman" w:hAnsi="Times New Roman"/>
          <w:sz w:val="28"/>
          <w:highlight w:val="white"/>
        </w:rPr>
        <w:t xml:space="preserve"> × 0,3) + (P</w:t>
      </w:r>
      <w:r>
        <w:rPr>
          <w:rFonts w:ascii="Times New Roman" w:hAnsi="Times New Roman"/>
          <w:sz w:val="28"/>
          <w:highlight w:val="white"/>
          <w:vertAlign w:val="subscript"/>
        </w:rPr>
        <w:t>2</w:t>
      </w:r>
      <w:r>
        <w:rPr>
          <w:rFonts w:ascii="Times New Roman" w:hAnsi="Times New Roman"/>
          <w:sz w:val="28"/>
          <w:highlight w:val="white"/>
        </w:rPr>
        <w:t xml:space="preserve"> × 0,3),»;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абзацы четвертый, пятый признать утратившими силу;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шестом слово «коровника» заменить словом «коровников»;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абзацы седьмой и восьмой признать утратившими силу;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девятом слова «доильно-молочного блока» заменить словами «доильно-молочных блоков»;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десятом слово «коровника» заменить словом «коровников», слова «доильно-молочного блока» заменить словами «доильно-молочных блоков»;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15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«15. Результатом предоставления субсидии является содержание поголовья коров не менее 70 процентов от проектной мощности коровников по состоянию на 1 января года, наступившего по истечении трех лет с года получения субсидии.»;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16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«16. Получатель субсидии представляет в Министерство отчет о достижении значения результата предоставления субсидии не позднее 1 февраля года наступившего по истечении трех лет после года предоставления субсидии по форме, прилагаемой к типовой форме соглашения, установленной Министерством финансов Республики Татарстан.»;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17: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втором слова «значений результатов» заменить словами «значения результата»;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третий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«в случае если получателем субсидии не достигнуто установленное в соглашении значение результата предоставления субсидии, получатель субсидии осуществляет возврат средств субсидии в размере (V</w:t>
      </w:r>
      <w:r>
        <w:rPr>
          <w:rFonts w:ascii="Times New Roman" w:hAnsi="Times New Roman"/>
          <w:sz w:val="28"/>
          <w:highlight w:val="white"/>
          <w:vertAlign w:val="subscript"/>
        </w:rPr>
        <w:t>возврата</w:t>
      </w:r>
      <w:r>
        <w:rPr>
          <w:rFonts w:ascii="Times New Roman" w:hAnsi="Times New Roman"/>
          <w:sz w:val="28"/>
          <w:highlight w:val="white"/>
        </w:rPr>
        <w:t xml:space="preserve">), определяемом по формуле:»;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двенадцатом слова «штрафных санкций» заменить словами «размера возврата средств субсидии»;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тринадцатый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«Министерство направляет уведомление о возврате средств субсидии в 60-дневный срок, исчисляемый в рабочих днях, с даты получения отчета о достижении значения результата предоставления субсидии, установленного соглашением, с указанием срока и платежных реквизитов почтовым отправлением с уведомлением о вручении.»;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капитальному ремонту машинно-тракторных парков, утвержденном указанным постановлением: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пункт 1 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«Условием предоставления субсидии является обязательство о не отчуждении машинно-тракторного парка в течение трех лет следующих за годом получения субсидии.»;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второй пункта 2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третий пункта 4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6: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первый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«6. Участник отбора на дату, не превышающую 15 рабочих дней до даты подачи заявки, должен соответствовать следующим требованиям:»;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пятый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7: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третий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«выписку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четвертый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«справку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четырнадцатый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«выписку из Единого государственного реестра недвижимости об основных характеристиках и зарегистрированных правах на машинно-тракторные парки в отчетном и (или) текущем финансовых годах, выданную не ранее чем за 30 календарных дней до дня подачи заявки.»;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четвертый пункта 10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14: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второй изложить в следующей редакции:</w:t>
      </w:r>
    </w:p>
    <w:p>
      <w:pPr>
        <w:spacing w:after="0" w:line="240" w:lineRule="auto"/>
        <w:ind w:firstLine="567"/>
        <w:jc w:val="center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«W = P × 0,3 ,»;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абзацы четвертый и пятый признать утратившими силу;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шестом «машинно-тракторного парка» заменить словами «машинно-тракторных парков»;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седьмом слова «машинно-тракторного парка» заменить словами «машинно-тракторных парков»;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первом пункта 15 слова «на 31 декабря текущего финансового года</w:t>
      </w:r>
      <w:r>
        <w:rPr>
          <w:rFonts w:ascii="Times New Roman" w:hAnsi="Times New Roman"/>
          <w:sz w:val="24"/>
          <w:highlight w:val="white"/>
        </w:rPr>
        <w:t xml:space="preserve">» </w:t>
      </w:r>
      <w:r>
        <w:rPr>
          <w:rFonts w:ascii="Times New Roman" w:hAnsi="Times New Roman"/>
          <w:sz w:val="28"/>
          <w:highlight w:val="white"/>
        </w:rPr>
        <w:t xml:space="preserve">заменить словами «на дату подачи заявки»;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16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«16. Получатель субсидии представляет в Министерство: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отчет о достижении значений результатов предоставления субсидии не позднее трех рабочих дней со дня заключения соглашения по форме, прилагаемой к типовой форме соглашения, установленной Министерством финансов Республики Татарстан; 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не позднее 1 февраля года, наступившего по истечении трех лет после года предоставления субсидии, выписку из Единого государственного реестра недвижимости об основных характеристиках и зарегистрированных правах на   машинно-тракторные парки на капитальный ремонт которых предоставлена субсидия, выданную не ранее чем за 30 календарных дней до указанного срока.»;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17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«17. Предоставленная субсидия подлежит возврату в полном объеме в доход бюджета Республики Татарстан в 30-дневный срок, исчисляемый в календарных днях,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непредставления отчета о достижении значений результатов предоставления субсидии, недостижения значений результатов предоставления субсидии.»;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пункт 20 признать утратившим силу;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5000 голов, утвержденном указанным постановлением: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 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«Условием предоставления субсидии является обязательство о не отчуждении коровника мощностью от 140 до 390 голов и (или) овцеводческой фермы мощностью от 500 до 5000 голов в течение трех лет следующих за годом получения субсидии.»;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второй пункта 2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третий пункта 4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6: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первый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«6. Участник отбора на дату, не превышающую 15 рабочих дней до даты подачи заявки, должен соответствовать следующим требованиям:»;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пятый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7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«7. Для участия в отборе на получение субсидии участник отбора на официальном сайте информационной системы «Мои субсидии» (далее – сервис) </w:t>
      </w:r>
      <w:r>
        <w:rPr>
          <w:rFonts w:ascii="Times New Roman" w:hAnsi="Times New Roman"/>
          <w:sz w:val="28"/>
          <w:highlight w:val="white"/>
        </w:rPr>
        <w:lastRenderedPageBreak/>
        <w:t>https://subsidiya.tatar.ru или https://subsidiya.tatarstan.ru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(www.gosuslugi.ru),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участника отбора требованиям, указанным в пункте 6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 и загружает в сервис сканированные копии следующих документов: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справки-расчета о причитающейся субсидии по форме, утвержденной Министерством;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положительного заключения государственной экспертизы проектной документации объекта капитального строительства и результатов инженерных изысканий;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двух, общая площадь которых составляет не более 1 500 кв. метров);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договора, предусматривающего осуществление строительного контроля за качеством и объемами выполнения работ;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сводного сметного расчета;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локальных сметных расчетов;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договоров подряда на выполнение строительно-монтажных работ;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справок по статистической форме № КС-2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справок по статистической форме № КС-3 «Справка о стоимости выполненных работ и затрат»;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платежных поручений, подтверждающих оплату выполненных работ за отчетный и (или) текущий финансовые годы;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выписку из Единого государственного реестра недвижимости об основных характеристиках и зарегистрированных правах на коровники мощностью от 140 до 390 голов и (или) овцеводческие фермы мощностью от 500 до 5 000 голов в отчетном и (или) текущем финансовых годах, выданную не ранее чем за 30 календарных дней до дня подачи заявки.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Документы, получаемые сервисом в автоматическом режиме: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выписка из Единого государственного реестра юридических лиц или Единого государственного реестра индивидуальных предпринимателей, подтверждающая </w:t>
      </w:r>
      <w:r>
        <w:rPr>
          <w:rFonts w:ascii="Times New Roman" w:hAnsi="Times New Roman"/>
          <w:sz w:val="28"/>
          <w:highlight w:val="white"/>
        </w:rPr>
        <w:lastRenderedPageBreak/>
        <w:t>соответствие участника отбора критериям, установленным абзацами вторым и третьим пункта 5 и требованиям, установленным абзацами четвертым и пятым пункта 6 настоящего Порядка;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справка налогового органа, подтверждающая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Участник отбора вправе отозвать заявку в любое время до истечения срока приема заявок, устранить недостатки и подать заявку повторно с полным пакетом исправленных документов в срок, определенный для приема заявок. При этом исправленная заявка с пакетом документов регистрируется в день их повторного поступления в порядке очередности поступления заявок.»;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второй пункта 8 признать утратившим силу;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четвертый пункта 10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14: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второй изложить в следующей редакции:</w:t>
      </w:r>
    </w:p>
    <w:p>
      <w:pPr>
        <w:spacing w:after="0" w:line="240" w:lineRule="auto"/>
        <w:ind w:firstLine="567"/>
        <w:jc w:val="center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«W = (P</w:t>
      </w:r>
      <w:r>
        <w:rPr>
          <w:rFonts w:ascii="Times New Roman" w:hAnsi="Times New Roman"/>
          <w:sz w:val="28"/>
          <w:highlight w:val="white"/>
          <w:vertAlign w:val="subscript"/>
        </w:rPr>
        <w:t>1</w:t>
      </w:r>
      <w:r>
        <w:rPr>
          <w:rFonts w:ascii="Times New Roman" w:hAnsi="Times New Roman"/>
          <w:sz w:val="28"/>
          <w:highlight w:val="white"/>
        </w:rPr>
        <w:t xml:space="preserve"> × 0,3) + (P</w:t>
      </w:r>
      <w:r>
        <w:rPr>
          <w:rFonts w:ascii="Times New Roman" w:hAnsi="Times New Roman"/>
          <w:sz w:val="28"/>
          <w:highlight w:val="white"/>
          <w:vertAlign w:val="subscript"/>
        </w:rPr>
        <w:t>2</w:t>
      </w:r>
      <w:r>
        <w:rPr>
          <w:rFonts w:ascii="Times New Roman" w:hAnsi="Times New Roman"/>
          <w:sz w:val="28"/>
          <w:highlight w:val="white"/>
        </w:rPr>
        <w:t xml:space="preserve"> × 0,3) ,»;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абзацы четвертый, пятый признать утратившими силу;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шестом слово «коровника» заменить словом «коровников»;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абзацы седьмой и восьмой признать утратившими силу;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девятом слова «овцеводческой фермы» заменить словами «овцеводческих ферм»;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десятом слово «коровника» заменить словом «коровников», слова «овцеводческой фермы» заменить словами «овцеводческих ферм»;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первом пункта 15 слова «на 31 декабря текущего финансового года</w:t>
      </w:r>
      <w:r>
        <w:rPr>
          <w:rFonts w:ascii="Times New Roman" w:hAnsi="Times New Roman"/>
          <w:sz w:val="24"/>
          <w:highlight w:val="white"/>
        </w:rPr>
        <w:t xml:space="preserve">» </w:t>
      </w:r>
      <w:r>
        <w:rPr>
          <w:rFonts w:ascii="Times New Roman" w:hAnsi="Times New Roman"/>
          <w:sz w:val="28"/>
          <w:highlight w:val="white"/>
        </w:rPr>
        <w:t xml:space="preserve">заменить словами «на дату подачи заявки»;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16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«16. Получатель субсидии представляет в Министерство: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отчет о достижении значений результатов предоставления субсидии не позднее трех рабочих дней со дня заключения соглашения по форме, прилагаемой к типовой форме соглашения, установленной Министерством финансов Республики Татарстан; 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не позднее 1 февраля года, наступившего по истечении трех лет после года предоставления субсидии, выписку из Единого государственного реестра недвижимости об основных характеристиках и зарегистрированных правах на коровники мощностью от 140 до 390 голов и (или) овцеводческие фермы мощностью от 500 до 5000 голов на строительство которых предоставлена субсидия, выданную не ранее чем за 30 календарных дней до указанного срока.»;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17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«17. Предоставленная субсидия подлежит возврату в полном объеме в доход бюджета Республики Татарстан в 30-дневный срок, исчисляемый в календарных днях,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</w:t>
      </w:r>
      <w:r>
        <w:rPr>
          <w:rFonts w:ascii="Times New Roman" w:hAnsi="Times New Roman"/>
          <w:sz w:val="28"/>
          <w:highlight w:val="white"/>
        </w:rPr>
        <w:lastRenderedPageBreak/>
        <w:t xml:space="preserve">органами государственного финансового контроля, непредставления отчета о достижении значений результатов предоставления субсидии, недостижения значений результатов предоставления субсидии.»;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пункт 20 признать утратившим силу;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силосно-сенажных траншей, утвержденном указанным постановлением: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 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«Условием предоставления субсидии является обязательство о не отчуждении силосно-сенажной траншеи в течение трех лет следующих за годом получения субсидии.»;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второй пункта 2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третий пункта 4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6: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первый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«6. Участник отбора на дату, не превышающую 15 рабочих дней до даты подачи заявки, должен соответствовать следующим требованиям:»;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пятый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пункт 7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«7. Для участия в отборе на получение субсидии участник отбора на официальном сайте информационной системы «Мои субсидии» (далее – сервис) https://subsidiya.tatar.ru или https://subsidiya.tatarstan.ru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(www.gosuslugi.ru),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участника отбора требованиям, указанным в пункте 6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 и загружает в сервис сканированные копии следующих документов: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справки-расчета о причитающейся субсидии по форме, утвержденной Министерством;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положительного заключения государственной экспертизы проектной документации объекта капитального строительства и результатов инженерных изысканий;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двух, общая площадь которых составляет не более 1 500 кв. метров);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сводного сметного расчета;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локальных сметных расчетов;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договоров подряда на выполнение строительно-монтажных работ;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договора, предусматривающего осуществление строительного контроля за качеством и объемом выполнения работ;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справок по статистической форме № КС-2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справок по статистической форме № КС-3 «Справка о стоимости выполненных работ и затрат»;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платежных поручений, подтверждающих оплату выполненных работ за отчетный и (или) текущий финансовые годы;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выписку из Единого государственного реестра недвижимости об основных характеристиках и зарегистрированных правах на силосно-сенажные траншеи в отчетном и (или) текущем финансовых годах, выданную не ранее чем за 30 календарных дней до дня подачи заявки.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Документы, получаемые сервисом в автоматическом режиме: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выписка из Единого государственного реестра юридических лиц или Единого государственного реестра индивидуальных предпринимателей, подтверждающая соответствие участника отбора критериям, установленным абзацами вторым и третьим пункта 5 и требованиям, установленным абзацами четвертым и пятым пункта 6 настоящего Порядка;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справка налогового органа, подтверждающая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Участник отбора вправе отозвать заявку в любое время до истечения срока приема заявок, устранить недостатки и подать заявку повторно с полным пакетом исправленных документов в срок, определенный для приема заявок. При этом исправленная заявка с пакетом документов регистрируется в день их повторного поступления в порядке очередности поступления заявок.»;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второй пункта 8 признать утратившим силу;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четвертый пункта 10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14: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второй изложить в следующей редакции:</w:t>
      </w:r>
    </w:p>
    <w:p>
      <w:pPr>
        <w:spacing w:after="0" w:line="240" w:lineRule="auto"/>
        <w:ind w:firstLine="567"/>
        <w:jc w:val="center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«W = P × 0,3 ,»;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абзацы четвертый и пятый признать утратившими силу;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шестом слова «силосно-сенажной траншеи» заменить словами «силосно-сенажных траншей»;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седьмом слова «силосно-сенажной траншеи» заменить словами «силосно-сенажных траншей»;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первом пункта 15 слова «на 31 декабря текущего финансового года</w:t>
      </w:r>
      <w:r>
        <w:rPr>
          <w:rFonts w:ascii="Times New Roman" w:hAnsi="Times New Roman"/>
          <w:sz w:val="24"/>
          <w:highlight w:val="white"/>
        </w:rPr>
        <w:t xml:space="preserve">» </w:t>
      </w:r>
      <w:r>
        <w:rPr>
          <w:rFonts w:ascii="Times New Roman" w:hAnsi="Times New Roman"/>
          <w:sz w:val="28"/>
          <w:highlight w:val="white"/>
        </w:rPr>
        <w:t xml:space="preserve">заменить словами «на дату подачи заявки»;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16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«16. Получатель субсидии представляет в Министерство: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отчет о достижении значения результата предоставления субсидии не позднее трех рабочих дней со дня заключения соглашения по форме, прилагаемой к типовой форме соглашения, установленной Министерством финансов Республики Татарстан; 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не позднее 1 февраля года, наступившего по истечении трех лет после года предоставления субсидии, выписку из Единого государственного реестра недвижимости об основных характеристиках и зарегистрированных правах на   силосно-сенажные траншеи на строительство которых предоставлена субсидия, выданную не ранее чем за 30 календарных дней до указанного срока.»;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17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«17. Предоставленная субсидия подлежит возврату в полном объеме в доход бюджета Республики Татарстан в 30-дневный срок, исчисляемый в календарных днях,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непредставления отчета о </w:t>
      </w:r>
      <w:r>
        <w:rPr>
          <w:rFonts w:ascii="Times New Roman" w:hAnsi="Times New Roman"/>
          <w:sz w:val="28"/>
          <w:highlight w:val="white"/>
        </w:rPr>
        <w:lastRenderedPageBreak/>
        <w:t xml:space="preserve">достижении значений результатов предоставления субсидии, недостижения значений результатов предоставления субсидии.»;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пункт 20 признать утратившим силу;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Порядке предоставления субсидии из бюджета Республики Татарстан сельскохозяйственным товаропроизводителям и предприятиям потребительской кооперации на возмещение части затрат, связанных с выполнением работ по капитальному ремонту овощекартофелехранилищ, утвержденном указанным постановлением: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 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«Условием предоставления субсидии является обязательство о не отчуждении овощекартофелехранилища в течение трех лет следующих за годом получения субсидии.»;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второй пункта 2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третий пункта 4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абзац третий пункта 5 изложить в следующей редакции: </w:t>
      </w:r>
    </w:p>
    <w:p>
      <w:pPr>
        <w:pStyle w:val="ConsPlusNormal2"/>
        <w:ind w:firstLine="709"/>
        <w:jc w:val="both"/>
      </w:pPr>
      <w:r>
        <w:rPr>
          <w:rFonts w:ascii="Times New Roman" w:hAnsi="Times New Roman"/>
          <w:sz w:val="28"/>
          <w:highlight w:val="white"/>
        </w:rPr>
        <w:t xml:space="preserve">«осуществление одного или нескольких видов экономической деятельности, предусмотренных Общероссийским </w:t>
      </w:r>
      <w:hyperlink r:id="rId7">
        <w:r>
          <w:rPr>
            <w:rFonts w:ascii="Times New Roman" w:hAnsi="Times New Roman"/>
            <w:sz w:val="28"/>
            <w:highlight w:val="white"/>
          </w:rPr>
          <w:t>классификатором</w:t>
        </w:r>
      </w:hyperlink>
      <w:r>
        <w:rPr>
          <w:rFonts w:ascii="Times New Roman" w:hAnsi="Times New Roman"/>
          <w:sz w:val="28"/>
          <w:highlight w:val="white"/>
        </w:rPr>
        <w:t xml:space="preserve"> видов экономической деятельности (ОК 029-2014 (КДЕС Ред. 2) – 01.1, 01.2, 10.3, 47.1, 47.2);»;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6: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первый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«6. Участник отбора на дату, не превышающую 15 рабочих дней до даты подачи заявки, должен соответствовать следующим требованиям:»;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пятый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>
        <w:rPr>
          <w:rFonts w:ascii="Times New Roman" w:hAnsi="Times New Roman"/>
          <w:sz w:val="28"/>
          <w:highlight w:val="white"/>
        </w:rPr>
        <w:lastRenderedPageBreak/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7: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третий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«выписку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четвертый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шестой дополнить словами «и копию положительного заключения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тринадцатый изложить в следующей редакции: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«выписку из Единого государственного реестра недвижимости об основных характеристиках и зарегистрированных правах на овощекартофелехранилища в отчетном и (или) текущем финансовых годах, выданную не ранее чем за 30 календарных дней до дня подачи заявки.»;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четвертый пункта 10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пункте 14: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 второй изложить в следующей редакции:</w:t>
      </w:r>
    </w:p>
    <w:p>
      <w:pPr>
        <w:spacing w:after="0" w:line="240" w:lineRule="auto"/>
        <w:ind w:firstLine="567"/>
        <w:jc w:val="center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«W = P × 0,3 ,»;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абзацы четвертый и пятый признать утратившими силу;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шестом слово «овощекартофеляхранилища» заменить словом «овощекартофеляхранилищ»;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седьмом слово «овощекартофеляхранилища» заменить словом «овощекартофеляхранилищ»;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абзаце первом пункта 15 слова «на 31 декабря текущего финансового года</w:t>
      </w:r>
      <w:r>
        <w:rPr>
          <w:rFonts w:ascii="Times New Roman" w:hAnsi="Times New Roman"/>
          <w:sz w:val="24"/>
          <w:highlight w:val="white"/>
        </w:rPr>
        <w:t xml:space="preserve">» </w:t>
      </w:r>
      <w:r>
        <w:rPr>
          <w:rFonts w:ascii="Times New Roman" w:hAnsi="Times New Roman"/>
          <w:sz w:val="28"/>
          <w:highlight w:val="white"/>
        </w:rPr>
        <w:t xml:space="preserve">заменить словами «на дату подачи заявки»;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16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«16. Получатель субсидии представляет в Министерство: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отчет о достижении значений результатов предоставления субсидии не позднее трех рабочих дней со дня заключения соглашения по форме, прилагаемой к типовой форме соглашения, установленной Министерством финансов Республики Татарстан; 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не позднее 1 февраля года, наступившего по истечении трех лет после года </w:t>
      </w:r>
      <w:r>
        <w:rPr>
          <w:rFonts w:ascii="Times New Roman" w:hAnsi="Times New Roman"/>
          <w:sz w:val="28"/>
          <w:highlight w:val="white"/>
        </w:rPr>
        <w:lastRenderedPageBreak/>
        <w:t>предоставления субсидии, выписку из Единого государственного реестра недвижимости об основных характеристиках и зарегистрированных правах на   овощекартофелехранилища на капитальный ремонт которых предоставлена субсидия, выданную не ранее чем за 30 календарных дней до указанного срока.»;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пункт 17 изложить в следующей редакции: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«17. Предоставленная субсидия подлежит возврату в полном объеме в доход бюджета Республики Татарстан в 30-дневный срок, исчисляемый в календарных днях,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непредставления отчета о достижении значений результатов предоставления субсидии, недостижения значений результатов предоставления субсидии.»;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пункт 20 признать утратившим силу; 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дополнить указанное постановление Порядком предоставления субсидии из бюджета Республики Татарстан сельскохозяйственным товаропроизводителям и предприятиям потребительской кооперации на возмещение части затрат, связанных с выполнением работ по строительству (реконструкции) овощехранилищ, плодохранилищ и картофелехранилищ (прилагается).</w:t>
      </w: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Премьер-министр</w:t>
      </w:r>
    </w:p>
    <w:p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Республики Татарстан                                                                                    А.В.Песошин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br w:type="page"/>
      </w:r>
    </w:p>
    <w:p>
      <w:pPr>
        <w:widowControl w:val="0"/>
        <w:spacing w:after="0" w:line="240" w:lineRule="auto"/>
        <w:jc w:val="right"/>
        <w:outlineLvl w:val="0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Утвержден</w:t>
      </w:r>
    </w:p>
    <w:p>
      <w:pPr>
        <w:widowControl w:val="0"/>
        <w:spacing w:after="0" w:line="240" w:lineRule="auto"/>
        <w:jc w:val="right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постановлением</w:t>
      </w:r>
    </w:p>
    <w:p>
      <w:pPr>
        <w:widowControl w:val="0"/>
        <w:spacing w:after="0" w:line="240" w:lineRule="auto"/>
        <w:jc w:val="right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Кабинета Министров</w:t>
      </w:r>
    </w:p>
    <w:p>
      <w:pPr>
        <w:widowControl w:val="0"/>
        <w:spacing w:after="0" w:line="240" w:lineRule="auto"/>
        <w:jc w:val="right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Республики Татарстан</w:t>
      </w:r>
    </w:p>
    <w:p>
      <w:pPr>
        <w:widowControl w:val="0"/>
        <w:spacing w:after="0" w:line="240" w:lineRule="auto"/>
        <w:jc w:val="right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от 13.06.2022 № 554</w:t>
      </w:r>
    </w:p>
    <w:p>
      <w:pPr>
        <w:widowControl w:val="0"/>
        <w:spacing w:after="0" w:line="240" w:lineRule="auto"/>
        <w:jc w:val="right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(в редакции постановления</w:t>
      </w:r>
    </w:p>
    <w:p>
      <w:pPr>
        <w:widowControl w:val="0"/>
        <w:spacing w:after="0" w:line="240" w:lineRule="auto"/>
        <w:jc w:val="right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Кабинета Министров </w:t>
      </w:r>
    </w:p>
    <w:p>
      <w:pPr>
        <w:widowControl w:val="0"/>
        <w:spacing w:after="0" w:line="240" w:lineRule="auto"/>
        <w:jc w:val="right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Республики Татарстан </w:t>
      </w:r>
    </w:p>
    <w:p>
      <w:pPr>
        <w:widowControl w:val="0"/>
        <w:spacing w:after="0" w:line="240" w:lineRule="auto"/>
        <w:ind w:firstLine="567"/>
        <w:jc w:val="right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от _____2023 №____)</w:t>
      </w:r>
    </w:p>
    <w:p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8"/>
          <w:highlight w:val="white"/>
        </w:rPr>
      </w:pPr>
    </w:p>
    <w:p>
      <w:pPr>
        <w:spacing w:after="0" w:line="240" w:lineRule="auto"/>
        <w:ind w:firstLine="567"/>
        <w:jc w:val="center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Порядок </w:t>
      </w:r>
    </w:p>
    <w:p>
      <w:pPr>
        <w:spacing w:after="0" w:line="240" w:lineRule="auto"/>
        <w:ind w:firstLine="567"/>
        <w:jc w:val="center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</w:t>
      </w:r>
      <w:bookmarkStart w:id="2" w:name="_GoBack1"/>
      <w:bookmarkEnd w:id="2"/>
      <w:r>
        <w:rPr>
          <w:rFonts w:ascii="Times New Roman" w:hAnsi="Times New Roman"/>
          <w:sz w:val="28"/>
          <w:highlight w:val="white"/>
        </w:rPr>
        <w:t>редоставления субсидии из бюджета Республики Татарстан сельскохозяйственным товаропроизводителям и предприятиям потребительской кооперации на возмещение части затрат, связанных с выполнением работ по строительству (реконструкции) овощехранилищ, плодохранилищ и картофелехранилищ</w:t>
      </w:r>
    </w:p>
    <w:p>
      <w:pPr>
        <w:spacing w:after="0" w:line="240" w:lineRule="auto"/>
        <w:ind w:firstLine="567"/>
        <w:jc w:val="center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 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1. Настоящий Порядок определяет механизм предоставления из бюджета Республики Татарстан субсидии сельскохозяйственным товаропроизводителям и предприятиям потребительской кооперации (за исключением граждан, ведущих личное подсобное хозяйство) на возмещение части затрат, произведенных в отчетном и (или) текущем финансовых годах (за вычетом затрат на приобретение оборудования и уплату налога на добавленную стоимость), связанных с выполнением работ по строительству (реконструкции) овощехранилищ, плодохранилищ и картофелехранилищ (далее соответственно – субсидии, участники отбора, хранилища).</w:t>
      </w:r>
    </w:p>
    <w:p>
      <w:pPr>
        <w:spacing w:after="0" w:line="240" w:lineRule="auto"/>
        <w:ind w:firstLine="709"/>
        <w:jc w:val="both"/>
        <w:rPr>
          <w:highlight w:val="white"/>
        </w:rPr>
      </w:pPr>
      <w:bookmarkStart w:id="3" w:name="Par203"/>
      <w:bookmarkEnd w:id="3"/>
      <w:r>
        <w:rPr>
          <w:rFonts w:ascii="Times New Roman" w:hAnsi="Times New Roman"/>
          <w:sz w:val="28"/>
          <w:highlight w:val="white"/>
        </w:rPr>
        <w:t>2.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главного распорядителя бюджетных средств – Министерства сельского хозяйства и продовольствия Республики Татарстан (далее – Министерство) как до получателя бюджетных средств на цели, указанные в пункте 1 настоящего Порядка.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3. Получатели субсидии определяются Министерством по результатам отбора, проводимого путем запроса предложений (заявок), направленных участниками отбора для участия в отборе (далее – заявки), исходя из соответствия участников отбора критериям отбора и очередности поступления заявок.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4. Министерство размещает на едином портале и на своем официальном сайте </w:t>
      </w:r>
      <w:r>
        <w:rPr>
          <w:rFonts w:ascii="Times New Roman" w:hAnsi="Times New Roman"/>
          <w:sz w:val="28"/>
          <w:highlight w:val="white"/>
        </w:rPr>
        <w:lastRenderedPageBreak/>
        <w:t>https://agro.tatarstan.ru (далее – официальный сайт Министерства) в информационно-телекоммуникационной сети «Интернет» объявление о проведении отбора не позднее чем за три календарных дня до дня начала срока проведения отбора с указанием: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сроков проведения отбора;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наименования, места нахождения, почтового адреса, адреса электронной почты Министерства;</w:t>
      </w:r>
    </w:p>
    <w:p>
      <w:pPr>
        <w:pStyle w:val="ConsPlusNormal2"/>
        <w:ind w:firstLine="709"/>
        <w:jc w:val="both"/>
      </w:pPr>
      <w:r>
        <w:rPr>
          <w:rFonts w:ascii="Times New Roman" w:hAnsi="Times New Roman"/>
          <w:sz w:val="28"/>
          <w:highlight w:val="white"/>
        </w:rPr>
        <w:t xml:space="preserve">результата предоставления субсидии в соответствии с </w:t>
      </w:r>
      <w:hyperlink w:anchor="Par294">
        <w:r>
          <w:rPr>
            <w:rFonts w:ascii="Times New Roman" w:hAnsi="Times New Roman"/>
            <w:sz w:val="28"/>
            <w:highlight w:val="white"/>
          </w:rPr>
          <w:t>пунктом 15</w:t>
        </w:r>
      </w:hyperlink>
      <w:r>
        <w:rPr>
          <w:rFonts w:ascii="Times New Roman" w:hAnsi="Times New Roman"/>
          <w:sz w:val="28"/>
          <w:highlight w:val="white"/>
        </w:rPr>
        <w:t xml:space="preserve"> настоящего Порядка;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>
      <w:pPr>
        <w:pStyle w:val="ConsPlusNormal2"/>
        <w:ind w:firstLine="709"/>
        <w:jc w:val="both"/>
      </w:pPr>
      <w:r>
        <w:rPr>
          <w:rFonts w:ascii="Times New Roman" w:hAnsi="Times New Roman"/>
          <w:sz w:val="28"/>
          <w:highlight w:val="white"/>
        </w:rPr>
        <w:t>требований к участникам отбора в соответствии с пунктом 6 настоящего Порядка и перечня документов, представляемых для подтверждения их соответствия указанным требованиям;</w:t>
      </w:r>
    </w:p>
    <w:p>
      <w:pPr>
        <w:pStyle w:val="ConsPlusNormal2"/>
        <w:ind w:firstLine="709"/>
        <w:jc w:val="both"/>
      </w:pPr>
      <w:r>
        <w:rPr>
          <w:rFonts w:ascii="Times New Roman" w:hAnsi="Times New Roman"/>
          <w:sz w:val="28"/>
          <w:highlight w:val="white"/>
        </w:rPr>
        <w:t>порядка подачи заявок и требований, предъявляемых к форме и содержанию заявок, в соответствии с пунктом 7 настоящего Порядка;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pStyle w:val="ConsPlusNormal2"/>
        <w:ind w:firstLine="709"/>
        <w:jc w:val="both"/>
      </w:pPr>
      <w:r>
        <w:rPr>
          <w:rFonts w:ascii="Times New Roman" w:hAnsi="Times New Roman"/>
          <w:sz w:val="28"/>
          <w:highlight w:val="white"/>
        </w:rPr>
        <w:t>правил рассмотрения заявок в соответствии с пунктами 8 и 9 настоящего Порядка;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срока, в течение которого победитель (победители) отбора должен (должны) подписать соглашение о предоставлении субсидии (далее — соглашение);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условий признания победителя (победителей) отбора уклонившимся (уклонившимися) от заключения соглашения;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даты размещения результатов отбора на едином портале и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5. Критериями отбора получателей субсидии являются: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ведение деятельности на территории Республики Татарстан и уплата налогов в бюджет Республики Татарстан;</w:t>
      </w:r>
    </w:p>
    <w:p>
      <w:pPr>
        <w:pStyle w:val="ConsPlusNormal2"/>
        <w:ind w:firstLine="709"/>
        <w:jc w:val="both"/>
      </w:pPr>
      <w:r>
        <w:rPr>
          <w:rFonts w:ascii="Times New Roman" w:hAnsi="Times New Roman"/>
          <w:sz w:val="28"/>
          <w:highlight w:val="white"/>
        </w:rPr>
        <w:t xml:space="preserve">осуществление одного или нескольких видов экономической деятельности, предусмотренных Общероссийским </w:t>
      </w:r>
      <w:hyperlink r:id="rId8">
        <w:r>
          <w:rPr>
            <w:rFonts w:ascii="Times New Roman" w:hAnsi="Times New Roman"/>
            <w:sz w:val="28"/>
            <w:highlight w:val="white"/>
          </w:rPr>
          <w:t>классификатором</w:t>
        </w:r>
      </w:hyperlink>
      <w:r>
        <w:rPr>
          <w:rFonts w:ascii="Times New Roman" w:hAnsi="Times New Roman"/>
          <w:sz w:val="28"/>
          <w:highlight w:val="white"/>
        </w:rPr>
        <w:t xml:space="preserve"> видов экономической деятельности (ОК 029-2014 (КДЕС Ред. 2) – 01.1, 01.2, 10.3, 47.1, 47.2);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наличие в собственности хранилищ, построенных (реконструированных) в отчетном и (или) текущем финансовых годах;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проведение строительного контроля при строительстве (реконструкции) хранилищ организацией, имеющей допуск саморегулируемой организации, и при условии, что выполняющие данную работу специалисты включены в Национальный реестр специалистов в области строительства.</w:t>
      </w:r>
    </w:p>
    <w:p>
      <w:pPr>
        <w:widowControl w:val="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не является получателем средств из бюджета Республики Татарстан на аналогичные цели в соответствии с Порядком предоставления из бюджета Республики Татарстан субсидии сельскохозяйственным товаропроизводителям на возмещение части прямых понесенных затрат на создание и (или) модернизацию объектов агропромышленного комплекса, софинансируемой из федерального бюджета, утвержденном постановлением Кабинета Министров Республики Татарстан от 30.06.2021 № 514 «О мерах государственной поддержки агропромышленного комплекса по отдельным направлениям».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6. Участник отбора на дату, не превышающую 15 рабочих дней до даты подачи заявки, должен соответствовать следующим требованиям: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</w:t>
      </w:r>
      <w:r>
        <w:rPr>
          <w:rFonts w:ascii="Times New Roman" w:hAnsi="Times New Roman"/>
          <w:sz w:val="28"/>
          <w:highlight w:val="white"/>
        </w:rPr>
        <w:lastRenderedPageBreak/>
        <w:t>имеются сведения об их причастности к распространению оружия массового уничтожения.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7. Для участия в отборе на получение субсидии участник отбора представляет в Министерство следующие документы:</w:t>
      </w:r>
    </w:p>
    <w:p>
      <w:pPr>
        <w:pStyle w:val="ConsPlusNormal2"/>
        <w:ind w:firstLine="709"/>
        <w:jc w:val="both"/>
      </w:pPr>
      <w:r>
        <w:rPr>
          <w:rFonts w:ascii="Times New Roman" w:hAnsi="Times New Roman"/>
          <w:sz w:val="28"/>
          <w:highlight w:val="white"/>
        </w:rPr>
        <w:t>заявку по форме, утвержденной приказом Министерства, с указанием своих платежных реквизитов и почтового адреса, адреса электронной почты, содержащую информацию о соответствии участника отбора требованиям, указанным в пункте 6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выписку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справку-расчет о причитающейся субсидии по форме, утвержденной Министерством;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копию положительного заключения государственной экспертизы проектной документации объекта капитального строительства и результатов инженерных изысканий;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копию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двух, общая площадь которых составляет не более 1 500 кв. метров);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копию разрешения на строительство (реконструкцию) хранилищ, выданного исполнительным комитетом муниципального района или городского округа по месту нахождения земельного участка;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копию договора, предусматривающего осуществление строительного контроля за качеством и объемами выполнения работ;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копию сводного сметного расчета;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копии локальных сметных расчетов;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копии договоров подряда на выполнение строительно-монтажных работ;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копии справок по статистической форме № КС-2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копии справок по статистической форме № КС-3 «Справка о стоимости выполненных работ и затрат»;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копии платежных поручений, подтверждающих оплату выполненных работ за отчетный и (или) текущий финансовые годы;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копию разрешения на ввод хранилища в эксплуатацию, выданного исполнительным комитетом муниципального района или городского округа не ранее отчетного года;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выписку из Единого государственного реестра недвижимости об основных характеристиках и зарегистрированных правах на хранилища в отчетном и (или) текущем финансовых годах, выданную не ранее чем за 30 календарных дней до дня подачи заявки;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копии представленных документов заверяются участником отбора.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приема заявок, при этом заявка регистрируется в день поступления в порядке очередности.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8. Министерство: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течение срока проведения отбора, установленного в объявлении о проведении отбора, регистрирует заявки в день их поступления с указанием даты и времени их приема;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15-дневный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информационно-телекоммуникационной сети «Интернет» информацию о результатах отбора, содержащую следующие сведения: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дату, время и место проведения рассмотрения заявок;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информацию об участниках отбора, заявки которых были рассмотрены;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9. Основаниями для отклонения заявки на стадии рассмотрения заявок являются: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несоответствие участников отбора требованиям, указанным в пункте 6 настоящего Порядка;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подача участником отбора заявки после даты и (или) времени, определенных для подачи заявки;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несоответствие участников отбора критериям, указанным в пункте 5 </w:t>
      </w:r>
      <w:r>
        <w:rPr>
          <w:rFonts w:ascii="Times New Roman" w:hAnsi="Times New Roman"/>
          <w:sz w:val="28"/>
          <w:highlight w:val="white"/>
        </w:rPr>
        <w:lastRenderedPageBreak/>
        <w:t>настоящего Порядка;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исчерпание лимита бюджетных обязательств.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10. Министерство в течение пяти рабочих дней со дня размещения на едином портале и на официальном сайте Министерства в информационно-телекоммуникационной сети «Интернет»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Татарстан.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соглашении предусматриваются: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размер субсидии, предоставляемой получателю субсидии, ее целевое назначение, порядок перечисления;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точная дата завершения и конечное значение результатов предоставления субсидии (конкретная количественная характеристика итогов);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форма и сроки представления получателем субсидии дополнительных отчетов, установленных Министерством;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порядок возврата субсидии;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соглашении.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>
      <w:pPr>
        <w:pStyle w:val="ConsPlusNormal2"/>
        <w:ind w:firstLine="709"/>
        <w:jc w:val="both"/>
      </w:pPr>
      <w:r>
        <w:rPr>
          <w:rFonts w:ascii="Times New Roman" w:hAnsi="Times New Roman"/>
          <w:sz w:val="28"/>
          <w:highlight w:val="white"/>
        </w:rPr>
        <w:t xml:space="preserve">11. Получатель субсидии признается уклонившимся от заключения соглашения в случае, если в сроки, указанные в </w:t>
      </w:r>
      <w:hyperlink r:id="rId9">
        <w:r>
          <w:rPr>
            <w:rFonts w:ascii="Times New Roman" w:hAnsi="Times New Roman"/>
            <w:sz w:val="28"/>
            <w:highlight w:val="white"/>
          </w:rPr>
          <w:t>абзаце первом пункта 10</w:t>
        </w:r>
      </w:hyperlink>
      <w:r>
        <w:rPr>
          <w:rFonts w:ascii="Times New Roman" w:hAnsi="Times New Roman"/>
          <w:sz w:val="28"/>
          <w:highlight w:val="white"/>
        </w:rPr>
        <w:t xml:space="preserve"> настоящего Порядка, не представил в Министерство проект соглашения, подписанный лицом, имеющим право действовать от имени получателя субсидии.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12. Министерство: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не позднее пятого рабочего дня со дня истечения указанного в объявлении о проведении отбора срока подписания соглашений принимает решение о предоставлении субсидии получателям субсидии, которое оформляется приказом Министерства;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>
      <w:pPr>
        <w:pStyle w:val="ConsPlusNormal2"/>
        <w:ind w:firstLine="709"/>
        <w:jc w:val="both"/>
      </w:pPr>
      <w:r>
        <w:rPr>
          <w:rFonts w:ascii="Times New Roman" w:hAnsi="Times New Roman"/>
          <w:sz w:val="28"/>
          <w:highlight w:val="white"/>
        </w:rPr>
        <w:t xml:space="preserve">13. Направлениями затрат, на возмещение которых предоставляется субсидия, являются затраты на строительные, монтажные и прочие виды работ, связанные со строительством (реконструкцией) хранилищ, включенные в акты о приемке выполненных работ по </w:t>
      </w:r>
      <w:hyperlink r:id="rId10">
        <w:r>
          <w:rPr>
            <w:rFonts w:ascii="Times New Roman" w:hAnsi="Times New Roman"/>
            <w:sz w:val="28"/>
            <w:highlight w:val="white"/>
          </w:rPr>
          <w:t>форме N КС-2</w:t>
        </w:r>
      </w:hyperlink>
      <w:r>
        <w:rPr>
          <w:rFonts w:ascii="Times New Roman" w:hAnsi="Times New Roman"/>
          <w:sz w:val="28"/>
          <w:highlight w:val="white"/>
        </w:rPr>
        <w:t xml:space="preserve"> (за вычетом затрат на приобретение оборудования и уплату налога на добавленную стоимость).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14. Размер субсидии, предоставляемой получателю субсидии в соответствии с пунктом 1 настоящего Порядка (W) (в рублях), определяется по следующей формуле:</w:t>
      </w:r>
    </w:p>
    <w:p>
      <w:pPr>
        <w:pStyle w:val="ConsPlusNormal2"/>
        <w:ind w:firstLine="709"/>
        <w:jc w:val="both"/>
        <w:rPr>
          <w:rFonts w:ascii="Times New Roman" w:hAnsi="Times New Roman"/>
          <w:sz w:val="28"/>
          <w:highlight w:val="white"/>
        </w:rPr>
      </w:pPr>
    </w:p>
    <w:p>
      <w:pPr>
        <w:pStyle w:val="ConsPlusNormal2"/>
        <w:ind w:firstLine="709"/>
        <w:jc w:val="center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W = P × 0,3 ,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где:</w:t>
      </w:r>
    </w:p>
    <w:p>
      <w:pPr>
        <w:pStyle w:val="ConsPlusNormal2"/>
        <w:ind w:firstLine="709"/>
        <w:jc w:val="both"/>
      </w:pPr>
      <w:r>
        <w:rPr>
          <w:rFonts w:ascii="Times New Roman" w:hAnsi="Times New Roman"/>
          <w:sz w:val="28"/>
          <w:highlight w:val="white"/>
        </w:rPr>
        <w:t xml:space="preserve">P – фактические затраты по оплате строительных, монтажных и прочих видов работ, связанных со строительством (реконструкцией)  хранилищ в отчетном и текущем финансовых годах, включенные в акты о приемке выполненных работ по </w:t>
      </w:r>
      <w:hyperlink r:id="rId11">
        <w:r>
          <w:rPr>
            <w:rFonts w:ascii="Times New Roman" w:hAnsi="Times New Roman"/>
            <w:sz w:val="28"/>
            <w:highlight w:val="white"/>
          </w:rPr>
          <w:t>форме № КС-2</w:t>
        </w:r>
      </w:hyperlink>
      <w:r>
        <w:rPr>
          <w:rFonts w:ascii="Times New Roman" w:hAnsi="Times New Roman"/>
          <w:sz w:val="28"/>
          <w:highlight w:val="white"/>
        </w:rPr>
        <w:t xml:space="preserve"> (без учета налога на добавленную стоимость и приобретения оборудования), рублей.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Размер субсидии, предоставляемой получателю субсидии, не может превышать 30 процентов сметной стоимости на строительство (реконструкцию) хранилищ  за исключением затрат на приобретение оборудования и уплату налога на добавленную стоимость.</w:t>
      </w:r>
    </w:p>
    <w:p>
      <w:pPr>
        <w:pStyle w:val="ConsPlusNormal2"/>
        <w:ind w:firstLine="709"/>
        <w:jc w:val="both"/>
        <w:rPr>
          <w:highlight w:val="white"/>
        </w:rPr>
      </w:pPr>
      <w:bookmarkStart w:id="4" w:name="Par294"/>
      <w:bookmarkEnd w:id="4"/>
      <w:r>
        <w:rPr>
          <w:rFonts w:ascii="Times New Roman" w:hAnsi="Times New Roman"/>
          <w:sz w:val="28"/>
          <w:highlight w:val="white"/>
        </w:rPr>
        <w:t xml:space="preserve">15. Результатом предоставления субсидии является наличие по состоянию на  1 ноября в течение трех лет, начиная с года предоставления субсидии, единовременного хранения овощей, плодов и картофеля в размере не менее 80 процентов от проектной мощности хранилищ. </w:t>
      </w:r>
    </w:p>
    <w:p>
      <w:pPr>
        <w:spacing w:after="0"/>
        <w:ind w:firstLine="54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16. Получатель субсидии представляет в Министерство отчет о достижении значения результата предоставления субсидии ежегодно не позднее 1 декабря в течение трех лет начиная с года предоставления субсидии по форме, прилагаемой к типовой форме соглашения, установленной Министерством финансов Республики Татарстан. </w:t>
      </w:r>
    </w:p>
    <w:p>
      <w:pPr>
        <w:spacing w:after="0"/>
        <w:ind w:firstLine="54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17.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непредставления отчета о достижении значений результатов предоставления субсидии;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 случае если получателем субсидии не достигнуты установленные в соглашении значения результатов предоставления субсидии, получатель субсидии осуществляет возврат средств субсидии в размере (V</w:t>
      </w:r>
      <w:r>
        <w:rPr>
          <w:rFonts w:ascii="Times New Roman" w:hAnsi="Times New Roman"/>
          <w:sz w:val="28"/>
          <w:highlight w:val="white"/>
          <w:vertAlign w:val="subscript"/>
        </w:rPr>
        <w:t>возврата</w:t>
      </w:r>
      <w:r>
        <w:rPr>
          <w:rFonts w:ascii="Times New Roman" w:hAnsi="Times New Roman"/>
          <w:sz w:val="28"/>
          <w:highlight w:val="white"/>
        </w:rPr>
        <w:t xml:space="preserve">), определяемом по формуле: </w:t>
      </w:r>
    </w:p>
    <w:p>
      <w:pPr>
        <w:pStyle w:val="ConsPlusNormal2"/>
        <w:ind w:firstLine="709"/>
        <w:jc w:val="center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V</w:t>
      </w:r>
      <w:r>
        <w:rPr>
          <w:rFonts w:ascii="Times New Roman" w:hAnsi="Times New Roman"/>
          <w:sz w:val="28"/>
          <w:highlight w:val="white"/>
          <w:vertAlign w:val="subscript"/>
        </w:rPr>
        <w:t>возврата</w:t>
      </w:r>
      <w:r>
        <w:rPr>
          <w:rFonts w:ascii="Times New Roman" w:hAnsi="Times New Roman"/>
          <w:sz w:val="28"/>
          <w:highlight w:val="white"/>
        </w:rPr>
        <w:t xml:space="preserve"> = (V</w:t>
      </w:r>
      <w:r>
        <w:rPr>
          <w:rFonts w:ascii="Times New Roman" w:hAnsi="Times New Roman"/>
          <w:sz w:val="28"/>
          <w:highlight w:val="white"/>
          <w:vertAlign w:val="subscript"/>
        </w:rPr>
        <w:t>субсидии</w:t>
      </w:r>
      <w:r>
        <w:rPr>
          <w:rFonts w:ascii="Times New Roman" w:hAnsi="Times New Roman"/>
          <w:sz w:val="28"/>
          <w:highlight w:val="white"/>
        </w:rPr>
        <w:t xml:space="preserve"> × k) × 0,1,</w:t>
      </w:r>
    </w:p>
    <w:p>
      <w:pPr>
        <w:pStyle w:val="ConsPlusNormal2"/>
        <w:ind w:firstLine="709"/>
        <w:jc w:val="both"/>
        <w:rPr>
          <w:rFonts w:ascii="Times New Roman" w:hAnsi="Times New Roman"/>
          <w:sz w:val="28"/>
          <w:highlight w:val="white"/>
        </w:rPr>
      </w:pP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где: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V</w:t>
      </w:r>
      <w:r>
        <w:rPr>
          <w:rFonts w:ascii="Times New Roman" w:hAnsi="Times New Roman"/>
          <w:sz w:val="28"/>
          <w:highlight w:val="white"/>
          <w:vertAlign w:val="subscript"/>
        </w:rPr>
        <w:t>субсидии</w:t>
      </w:r>
      <w:r>
        <w:rPr>
          <w:rFonts w:ascii="Times New Roman" w:hAnsi="Times New Roman"/>
          <w:sz w:val="28"/>
          <w:highlight w:val="white"/>
        </w:rPr>
        <w:t xml:space="preserve"> - размер субсидии, фактически предоставленной получателю субсидии в целях достижения результата предоставления субсидии в отчетном финансовом году;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k - коэффициент, отражающий уровень недостижения результата предоставления субсидии, определяемый по следующей формуле:</w:t>
      </w:r>
    </w:p>
    <w:p>
      <w:pPr>
        <w:pStyle w:val="ConsPlusNormal2"/>
        <w:ind w:firstLine="709"/>
        <w:jc w:val="both"/>
        <w:rPr>
          <w:rFonts w:ascii="Times New Roman" w:hAnsi="Times New Roman"/>
          <w:sz w:val="28"/>
          <w:highlight w:val="white"/>
        </w:rPr>
      </w:pPr>
    </w:p>
    <w:p>
      <w:pPr>
        <w:pStyle w:val="ConsPlusNormal2"/>
        <w:ind w:firstLine="709"/>
        <w:jc w:val="center"/>
        <w:rPr>
          <w:highlight w:val="white"/>
        </w:rPr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697230" cy="46418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highlight w:val="white"/>
        </w:rPr>
        <w:t>,</w:t>
      </w:r>
    </w:p>
    <w:p>
      <w:pPr>
        <w:pStyle w:val="ConsPlusNormal2"/>
        <w:ind w:firstLine="709"/>
        <w:jc w:val="both"/>
        <w:rPr>
          <w:rFonts w:ascii="Times New Roman" w:hAnsi="Times New Roman"/>
          <w:sz w:val="28"/>
          <w:highlight w:val="white"/>
        </w:rPr>
      </w:pP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где: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T - фактически достигнутое значение результата предоставления субсидии на отчетную дату получателем субсидии;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S - плановое значение результата предоставления субсидии, установленное соглашением получателю субсидии.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При расчете размера возврата средств субсидии используются только положительные значения коэффициента, отражающие уровень недостижения результата предоставления субсидии.</w:t>
      </w:r>
    </w:p>
    <w:p>
      <w:pPr>
        <w:spacing w:after="0" w:line="240" w:lineRule="auto"/>
        <w:ind w:firstLine="54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Министерство направляет уведомление о возврате средств субсидии в 60-дневный срок, исчисляемый в рабочих днях, с даты получения отчета о достижении значений результатов предоставления субсидии, установленных соглашением, с указанием срока и платежных реквизитов почтовым отправлением с уведомлением о вручении. </w:t>
      </w:r>
    </w:p>
    <w:p>
      <w:pPr>
        <w:pStyle w:val="ConsPlusNormal2"/>
        <w:ind w:firstLine="709"/>
        <w:jc w:val="both"/>
      </w:pPr>
      <w:r>
        <w:rPr>
          <w:rFonts w:ascii="Times New Roman" w:hAnsi="Times New Roman"/>
          <w:sz w:val="28"/>
          <w:highlight w:val="white"/>
        </w:rPr>
        <w:t>18. При нарушении получателем субсидии срока возврата субсидии, указанного в пункте 17 настоящего Порядка, Министерство в 20-дневный срок, исчисляемый в рабочих днях, со дня истечения срока возврата субсидии принимает меры по принудительному взысканию указанных средств в бюджет Республики Татарстан в порядке, установленном законодательствами Российской Федерации и Республики Татарстан.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19.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pStyle w:val="ConsPlusNormal2"/>
        <w:ind w:firstLine="709"/>
        <w:jc w:val="both"/>
      </w:pPr>
      <w:r>
        <w:rPr>
          <w:rFonts w:ascii="Times New Roman" w:hAnsi="Times New Roman"/>
          <w:sz w:val="28"/>
          <w:highlight w:val="white"/>
        </w:rPr>
        <w:t xml:space="preserve">Органы государственного финансового контроля осуществляют проверку в соответствии со </w:t>
      </w:r>
      <w:hyperlink r:id="rId13">
        <w:r>
          <w:rPr>
            <w:rFonts w:ascii="Times New Roman" w:hAnsi="Times New Roman"/>
            <w:sz w:val="28"/>
            <w:highlight w:val="white"/>
          </w:rPr>
          <w:t>статьями 268</w:t>
        </w:r>
      </w:hyperlink>
      <w:r>
        <w:rPr>
          <w:rFonts w:ascii="Times New Roman" w:hAnsi="Times New Roman"/>
          <w:sz w:val="28"/>
          <w:highlight w:val="white"/>
          <w:vertAlign w:val="superscript"/>
        </w:rPr>
        <w:t>1</w:t>
      </w:r>
      <w:r>
        <w:rPr>
          <w:rFonts w:ascii="Times New Roman" w:hAnsi="Times New Roman"/>
          <w:sz w:val="28"/>
          <w:highlight w:val="white"/>
        </w:rPr>
        <w:t xml:space="preserve"> и </w:t>
      </w:r>
      <w:hyperlink r:id="rId14">
        <w:r>
          <w:rPr>
            <w:rFonts w:ascii="Times New Roman" w:hAnsi="Times New Roman"/>
            <w:sz w:val="28"/>
            <w:highlight w:val="white"/>
          </w:rPr>
          <w:t>269</w:t>
        </w:r>
      </w:hyperlink>
      <w:r>
        <w:rPr>
          <w:rFonts w:ascii="Times New Roman" w:hAnsi="Times New Roman"/>
          <w:sz w:val="28"/>
          <w:highlight w:val="white"/>
          <w:vertAlign w:val="superscript"/>
        </w:rPr>
        <w:t>2</w:t>
      </w:r>
      <w:r>
        <w:rPr>
          <w:rFonts w:ascii="Times New Roman" w:hAnsi="Times New Roman"/>
          <w:sz w:val="28"/>
          <w:highlight w:val="white"/>
        </w:rPr>
        <w:t xml:space="preserve"> Бюджетного кодекса Российской Федерации.</w:t>
      </w:r>
    </w:p>
    <w:p>
      <w:pPr>
        <w:pStyle w:val="ConsPlusNormal2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20. Мониторинг достижения результата предоставления субсидии осуществляется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>
      <w:pPr>
        <w:pStyle w:val="ConsPlusNormal2"/>
        <w:spacing w:after="200"/>
        <w:ind w:firstLine="709"/>
        <w:contextualSpacing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21. Ответственность за достоверность документов, представляемых получателями субсидии в Министерство, возлагается на соответствующих должностных лиц и руководителей получателей субсидии.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</w:p>
    <w:p>
      <w:pPr>
        <w:spacing w:after="0" w:line="228" w:lineRule="auto"/>
        <w:contextualSpacing/>
        <w:jc w:val="both"/>
        <w:rPr>
          <w:rFonts w:ascii="Times New Roman" w:hAnsi="Times New Roman"/>
          <w:sz w:val="24"/>
          <w:highlight w:val="white"/>
        </w:rPr>
      </w:pPr>
    </w:p>
    <w:p>
      <w:pPr>
        <w:spacing w:after="0" w:line="228" w:lineRule="auto"/>
        <w:contextualSpacing/>
        <w:jc w:val="both"/>
        <w:rPr>
          <w:rFonts w:ascii="Times New Roman" w:hAnsi="Times New Roman"/>
          <w:sz w:val="24"/>
          <w:highlight w:val="white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Пояснительная записка 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 проекту постановления Кабинета Министров Республики Татарстан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«О внесении изменений в 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(с изменением, внесенным постановлением Кабинета Министров Республики Татарстан от 04.08.2022  № 760) 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>
      <w:pPr>
        <w:spacing w:after="0" w:line="240" w:lineRule="auto"/>
        <w:ind w:firstLine="851"/>
        <w:jc w:val="both"/>
        <w:rPr>
          <w:rFonts w:eastAsia="Calibri" w:cs="Calibri"/>
          <w:color w:val="auto"/>
          <w:szCs w:val="22"/>
          <w:highlight w:val="white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highlight w:val="white"/>
          <w:lang w:eastAsia="en-US" w:bidi="ar-SA"/>
        </w:rPr>
        <w:t xml:space="preserve">Проект постановления Кабинета Министров Республики Татарстан                  «О внесении изменений в 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 </w:t>
      </w:r>
      <w:r>
        <w:rPr>
          <w:rFonts w:ascii="Times New Roman" w:eastAsia="Calibri" w:hAnsi="Times New Roman" w:cs="Times New Roman"/>
          <w:color w:val="auto"/>
          <w:sz w:val="28"/>
          <w:szCs w:val="28"/>
          <w:highlight w:val="white"/>
          <w:lang w:eastAsia="ru-RU" w:bidi="ar-SA"/>
        </w:rPr>
        <w:t xml:space="preserve">(с изменением, внесенным постановлением Кабинета Министров Республики Татарстан             от 04.08.2022  № 760) </w:t>
      </w:r>
      <w:r>
        <w:rPr>
          <w:rFonts w:ascii="Times New Roman" w:eastAsia="Calibri" w:hAnsi="Times New Roman" w:cs="Times New Roman"/>
          <w:color w:val="auto"/>
          <w:sz w:val="28"/>
          <w:szCs w:val="28"/>
          <w:highlight w:val="white"/>
          <w:lang w:eastAsia="en-US" w:bidi="ar-SA"/>
        </w:rPr>
        <w:t>подготовлен в целях:</w:t>
      </w:r>
    </w:p>
    <w:p>
      <w:pPr>
        <w:spacing w:after="0" w:line="240" w:lineRule="auto"/>
        <w:ind w:firstLine="851"/>
        <w:jc w:val="both"/>
        <w:rPr>
          <w:rFonts w:eastAsia="Calibri" w:cs="Calibri"/>
          <w:color w:val="auto"/>
          <w:szCs w:val="22"/>
          <w:highlight w:val="white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highlight w:val="white"/>
          <w:lang w:eastAsia="en-US" w:bidi="ar-SA"/>
        </w:rPr>
        <w:t>цифровизации двух направлений в информационной системе «Мои субсидии»: по строительству коровников мощностью от 140 до 390 голов и (или) овцеводческих ферм от 500 до 5000 голов и по строительству силосно-сенажных траншей;</w:t>
      </w:r>
    </w:p>
    <w:p>
      <w:pPr>
        <w:spacing w:after="0" w:line="240" w:lineRule="auto"/>
        <w:ind w:firstLine="851"/>
        <w:jc w:val="both"/>
        <w:rPr>
          <w:rFonts w:eastAsia="Calibri" w:cs="Calibri"/>
          <w:color w:val="auto"/>
          <w:szCs w:val="22"/>
          <w:highlight w:val="white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highlight w:val="white"/>
          <w:lang w:eastAsia="en-US" w:bidi="ar-SA"/>
        </w:rPr>
        <w:t xml:space="preserve">дополнения Порядком предоставления </w:t>
      </w:r>
      <w:r>
        <w:rPr>
          <w:rFonts w:ascii="Times New Roman" w:eastAsia="Calibri" w:hAnsi="Times New Roman" w:cs="Times New Roman"/>
          <w:color w:val="auto"/>
          <w:sz w:val="28"/>
          <w:szCs w:val="28"/>
          <w:highlight w:val="white"/>
          <w:lang w:eastAsia="ru-RU" w:bidi="ar-SA"/>
        </w:rPr>
        <w:t xml:space="preserve">субсидии из бюджета Республики Татарстан сельскохозяйственным товаропроизводителям и предприятиям потребительской кооперации на возмещение части затрат, связанных с выполнением работ по 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 w:bidi="ar-SA"/>
        </w:rPr>
        <w:t>строительству (реконструкции)</w:t>
      </w:r>
      <w:r>
        <w:rPr>
          <w:rFonts w:ascii="Times New Roman" w:eastAsia="Calibri" w:hAnsi="Times New Roman" w:cs="Times New Roman"/>
          <w:color w:val="auto"/>
          <w:sz w:val="28"/>
          <w:szCs w:val="28"/>
          <w:highlight w:val="white"/>
          <w:lang w:eastAsia="ru-RU" w:bidi="ar-SA"/>
        </w:rPr>
        <w:t xml:space="preserve"> овощехранилищ, плодохранилищ и картофелехранилищ;</w:t>
      </w:r>
    </w:p>
    <w:p>
      <w:pPr>
        <w:spacing w:after="0" w:line="240" w:lineRule="auto"/>
        <w:ind w:firstLine="851"/>
        <w:jc w:val="both"/>
        <w:rPr>
          <w:rFonts w:eastAsia="Calibri" w:cs="Calibri"/>
          <w:color w:val="auto"/>
          <w:szCs w:val="22"/>
          <w:highlight w:val="white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highlight w:val="white"/>
          <w:lang w:eastAsia="ru-RU" w:bidi="ar-SA"/>
        </w:rPr>
        <w:t xml:space="preserve">приведения в соответствие к требованиям постановления Правительства Российской Федерации </w:t>
      </w:r>
      <w:r>
        <w:rPr>
          <w:rFonts w:ascii="Times New Roman" w:eastAsia="Calibri" w:hAnsi="Times New Roman" w:cs="Times New Roman"/>
          <w:color w:val="auto"/>
          <w:sz w:val="28"/>
          <w:szCs w:val="28"/>
          <w:highlight w:val="white"/>
          <w:lang w:eastAsia="en-US" w:bidi="ar-SA"/>
        </w:rPr>
        <w:t xml:space="preserve">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>
      <w:pPr>
        <w:spacing w:after="0" w:line="240" w:lineRule="auto"/>
        <w:ind w:firstLine="851"/>
        <w:jc w:val="both"/>
        <w:rPr>
          <w:rFonts w:eastAsia="Calibri" w:cs="Calibri"/>
          <w:color w:val="auto"/>
          <w:szCs w:val="22"/>
          <w:highlight w:val="white"/>
          <w:lang w:eastAsia="en-US" w:bidi="ar-SA"/>
        </w:rPr>
      </w:pPr>
    </w:p>
    <w:p>
      <w:pPr>
        <w:spacing w:after="0" w:line="240" w:lineRule="auto"/>
        <w:ind w:firstLine="851"/>
        <w:jc w:val="both"/>
        <w:rPr>
          <w:rFonts w:eastAsia="Calibri" w:cs="Calibri"/>
          <w:color w:val="auto"/>
          <w:szCs w:val="22"/>
          <w:highlight w:val="white"/>
          <w:lang w:eastAsia="en-US" w:bidi="ar-SA"/>
        </w:rPr>
      </w:pPr>
    </w:p>
    <w:p>
      <w:pPr>
        <w:spacing w:after="0" w:line="240" w:lineRule="auto"/>
        <w:ind w:firstLine="851"/>
        <w:jc w:val="both"/>
        <w:rPr>
          <w:rFonts w:eastAsia="Calibri" w:cs="Calibri"/>
          <w:color w:val="auto"/>
          <w:szCs w:val="22"/>
          <w:highlight w:val="white"/>
          <w:lang w:eastAsia="en-US" w:bidi="ar-SA"/>
        </w:rPr>
      </w:pPr>
    </w:p>
    <w:p>
      <w:pPr>
        <w:spacing w:after="0" w:line="228" w:lineRule="auto"/>
        <w:contextualSpacing/>
        <w:jc w:val="both"/>
        <w:rPr>
          <w:rFonts w:ascii="Times New Roman" w:hAnsi="Times New Roman"/>
          <w:sz w:val="24"/>
          <w:highlight w:val="white"/>
        </w:rPr>
      </w:pPr>
    </w:p>
    <w:p>
      <w:pPr>
        <w:spacing w:after="0" w:line="228" w:lineRule="auto"/>
        <w:contextualSpacing/>
        <w:jc w:val="both"/>
        <w:rPr>
          <w:highlight w:val="white"/>
        </w:rPr>
      </w:pPr>
      <w:r>
        <w:rPr>
          <w:rFonts w:ascii="Times New Roman" w:hAnsi="Times New Roman"/>
          <w:sz w:val="24"/>
          <w:highlight w:val="white"/>
        </w:rPr>
        <w:t>_________________________________________________________________________________</w:t>
      </w:r>
    </w:p>
    <w:sectPr>
      <w:headerReference w:type="first" r:id="rId15"/>
      <w:pgSz w:w="11906" w:h="16838"/>
      <w:pgMar w:top="709" w:right="567" w:bottom="1134" w:left="1134" w:header="709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061C1-21D9-4194-A2BB-7F97CBCC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pPr>
      <w:keepNext/>
      <w:spacing w:after="0" w:line="300" w:lineRule="exact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Текст выноски Знак1"/>
    <w:link w:val="a3"/>
    <w:qFormat/>
    <w:rPr>
      <w:rFonts w:ascii="Tahoma" w:hAnsi="Tahoma"/>
      <w:sz w:val="16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sPlusNormal">
    <w:name w:val="ConsPlusNormal Знак"/>
    <w:link w:val="ConsPlusNormal0"/>
    <w:qFormat/>
    <w:rPr>
      <w:rFonts w:ascii="Arial" w:hAnsi="Arial"/>
    </w:rPr>
  </w:style>
  <w:style w:type="character" w:customStyle="1" w:styleId="a4">
    <w:name w:val="Нижний колонтитул Знак"/>
    <w:link w:val="a5"/>
    <w:qFormat/>
    <w:rPr>
      <w:sz w:val="22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a6">
    <w:name w:val="Нормальный (таблица)"/>
    <w:link w:val="a7"/>
    <w:qFormat/>
    <w:rPr>
      <w:rFonts w:ascii="Arial" w:hAnsi="Arial"/>
      <w:sz w:val="24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0"/>
    <w:qFormat/>
    <w:rPr>
      <w:rFonts w:ascii="Arial" w:hAnsi="Arial"/>
      <w:b/>
      <w:color w:val="000000"/>
      <w:sz w:val="24"/>
    </w:rPr>
  </w:style>
  <w:style w:type="character" w:customStyle="1" w:styleId="22">
    <w:name w:val="Основной текст с отступом 2 Знак2"/>
    <w:link w:val="20"/>
    <w:qFormat/>
    <w:rPr>
      <w:rFonts w:ascii="Times New Roman" w:hAnsi="Times New Roman"/>
      <w:sz w:val="24"/>
    </w:rPr>
  </w:style>
  <w:style w:type="character" w:styleId="a8">
    <w:name w:val="Hyperlink"/>
    <w:link w:val="-"/>
    <w:rPr>
      <w:color w:val="0000FF"/>
      <w:u w:val="single"/>
    </w:rPr>
  </w:style>
  <w:style w:type="character" w:customStyle="1" w:styleId="ConsPlusCell">
    <w:name w:val="ConsPlusCell"/>
    <w:link w:val="ConsPlusCell0"/>
    <w:qFormat/>
    <w:rPr>
      <w:rFonts w:ascii="Times New Roman" w:hAnsi="Times New Roman"/>
      <w:color w:val="000000"/>
      <w:sz w:val="28"/>
    </w:rPr>
  </w:style>
  <w:style w:type="character" w:customStyle="1" w:styleId="31">
    <w:name w:val="Заголовок 31"/>
    <w:qFormat/>
    <w:rPr>
      <w:rFonts w:ascii="Cambria" w:hAnsi="Cambria"/>
      <w:b/>
      <w:sz w:val="26"/>
    </w:rPr>
  </w:style>
  <w:style w:type="character" w:customStyle="1" w:styleId="a9">
    <w:name w:val="Название Знак"/>
    <w:link w:val="aa"/>
    <w:qFormat/>
    <w:rPr>
      <w:rFonts w:ascii="Times New Roman" w:hAnsi="Times New Roman"/>
      <w:b/>
      <w:sz w:val="24"/>
    </w:rPr>
  </w:style>
  <w:style w:type="character" w:customStyle="1" w:styleId="21">
    <w:name w:val="Основной текст с отступом 2 Знак"/>
    <w:link w:val="23"/>
    <w:qFormat/>
    <w:rPr>
      <w:rFonts w:ascii="Times New Roman" w:hAnsi="Times New Roman"/>
      <w:sz w:val="24"/>
    </w:rPr>
  </w:style>
  <w:style w:type="character" w:customStyle="1" w:styleId="formattext">
    <w:name w:val="formattext"/>
    <w:link w:val="formattext0"/>
    <w:qFormat/>
    <w:rPr>
      <w:rFonts w:ascii="Times New Roman" w:hAnsi="Times New Roman"/>
      <w:sz w:val="24"/>
    </w:rPr>
  </w:style>
  <w:style w:type="character" w:customStyle="1" w:styleId="11">
    <w:name w:val="Указатель1"/>
    <w:link w:val="ab"/>
    <w:qFormat/>
    <w:rPr>
      <w:rFonts w:ascii="PT Astra Serif" w:hAnsi="PT Astra Serif"/>
    </w:rPr>
  </w:style>
  <w:style w:type="character" w:customStyle="1" w:styleId="ac">
    <w:name w:val="Указатель Знак"/>
    <w:link w:val="ab"/>
    <w:qFormat/>
    <w:rPr>
      <w:rFonts w:ascii="PT Astra Serif" w:hAnsi="PT Astra Serif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210">
    <w:name w:val="Основной текст с отступом 2 Знак1"/>
    <w:link w:val="211"/>
    <w:qFormat/>
    <w:rPr>
      <w:rFonts w:ascii="Cambria" w:hAnsi="Cambria"/>
      <w:b/>
      <w:i/>
      <w:sz w:val="28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  <w:color w:val="000000"/>
      <w:sz w:val="22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styleId="ad">
    <w:name w:val="Placeholder Text"/>
    <w:basedOn w:val="a0"/>
    <w:link w:val="12"/>
    <w:qFormat/>
    <w:rPr>
      <w:color w:val="808080"/>
    </w:rPr>
  </w:style>
  <w:style w:type="character" w:customStyle="1" w:styleId="110">
    <w:name w:val="Заголовок 11"/>
    <w:qFormat/>
    <w:rPr>
      <w:rFonts w:ascii="Cambria" w:hAnsi="Cambria"/>
      <w:b/>
      <w:sz w:val="32"/>
    </w:rPr>
  </w:style>
  <w:style w:type="character" w:customStyle="1" w:styleId="ae">
    <w:name w:val="Абзац списка Знак"/>
    <w:link w:val="af"/>
    <w:qFormat/>
    <w:rPr>
      <w:rFonts w:ascii="Times New Roman" w:hAnsi="Times New Roman"/>
      <w:sz w:val="24"/>
    </w:rPr>
  </w:style>
  <w:style w:type="character" w:customStyle="1" w:styleId="af0">
    <w:name w:val="Заголовок Знак"/>
    <w:link w:val="af1"/>
    <w:qFormat/>
    <w:rPr>
      <w:rFonts w:ascii="PT Astra Serif" w:hAnsi="PT Astra Serif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13">
    <w:name w:val="Список1"/>
    <w:basedOn w:val="Textbody"/>
    <w:qFormat/>
    <w:rPr>
      <w:rFonts w:ascii="PT Astra Serif" w:hAnsi="PT Astra Serif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af2">
    <w:name w:val="Название объекта Знак"/>
    <w:link w:val="af3"/>
    <w:qFormat/>
    <w:rPr>
      <w:rFonts w:ascii="PT Astra Serif" w:hAnsi="PT Astra Serif"/>
      <w:i/>
      <w:sz w:val="24"/>
    </w:rPr>
  </w:style>
  <w:style w:type="character" w:customStyle="1" w:styleId="14">
    <w:name w:val="Заголовок 1 Знак"/>
    <w:link w:val="15"/>
    <w:qFormat/>
    <w:rPr>
      <w:rFonts w:ascii="Cambria" w:hAnsi="Cambria"/>
      <w:b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sPlusNormal1">
    <w:name w:val="ConsPlusNormal"/>
    <w:link w:val="ConsPlusNormal2"/>
    <w:qFormat/>
    <w:rPr>
      <w:rFonts w:ascii="Arial" w:hAnsi="Arial"/>
      <w:color w:val="000000"/>
      <w:sz w:val="22"/>
    </w:rPr>
  </w:style>
  <w:style w:type="character" w:customStyle="1" w:styleId="af4">
    <w:name w:val="Прижатый влево"/>
    <w:link w:val="af5"/>
    <w:qFormat/>
    <w:rPr>
      <w:rFonts w:ascii="Arial" w:hAnsi="Arial"/>
      <w:sz w:val="24"/>
    </w:rPr>
  </w:style>
  <w:style w:type="character" w:customStyle="1" w:styleId="af6">
    <w:name w:val="Таблицы (моноширинный)"/>
    <w:link w:val="af7"/>
    <w:qFormat/>
    <w:rPr>
      <w:rFonts w:ascii="Courier New" w:hAnsi="Courier New"/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6">
    <w:name w:val="Основной текст1"/>
    <w:link w:val="17"/>
    <w:qFormat/>
    <w:rPr>
      <w:rFonts w:ascii="Times New Roman" w:hAnsi="Times New Roman"/>
      <w:spacing w:val="0"/>
      <w:sz w:val="25"/>
    </w:rPr>
  </w:style>
  <w:style w:type="character" w:customStyle="1" w:styleId="ConsPlusTitlePage">
    <w:name w:val="ConsPlusTitlePage"/>
    <w:link w:val="ConsPlusTitlePage0"/>
    <w:qFormat/>
    <w:rPr>
      <w:rFonts w:ascii="Tahoma" w:hAnsi="Tahoma"/>
      <w:color w:val="000000"/>
      <w:sz w:val="24"/>
    </w:rPr>
  </w:style>
  <w:style w:type="character" w:customStyle="1" w:styleId="Textbody">
    <w:name w:val="Text body"/>
    <w:qFormat/>
  </w:style>
  <w:style w:type="character" w:customStyle="1" w:styleId="af8">
    <w:name w:val="Без интервала Знак"/>
    <w:link w:val="af9"/>
    <w:qFormat/>
    <w:rPr>
      <w:rFonts w:ascii="Times New Roman CYR" w:hAnsi="Times New Roman CYR"/>
      <w:color w:val="000000"/>
      <w:sz w:val="24"/>
    </w:rPr>
  </w:style>
  <w:style w:type="character" w:customStyle="1" w:styleId="ConsPlusTextList1">
    <w:name w:val="ConsPlusTextList1"/>
    <w:link w:val="ConsPlusTextList10"/>
    <w:qFormat/>
    <w:rPr>
      <w:rFonts w:ascii="Times New Roman" w:hAnsi="Times New Roman"/>
      <w:color w:val="000000"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styleId="afa">
    <w:name w:val="FollowedHyperlink"/>
    <w:basedOn w:val="a0"/>
    <w:link w:val="afb"/>
    <w:rPr>
      <w:color w:val="800080" w:themeColor="followedHyperlink"/>
      <w:u w:val="single"/>
    </w:rPr>
  </w:style>
  <w:style w:type="character" w:customStyle="1" w:styleId="afc">
    <w:name w:val="Верхний колонтитул Знак"/>
    <w:link w:val="afd"/>
    <w:qFormat/>
    <w:rPr>
      <w:sz w:val="22"/>
    </w:rPr>
  </w:style>
  <w:style w:type="character" w:customStyle="1" w:styleId="ConsPlusTextList">
    <w:name w:val="ConsPlusTextList"/>
    <w:link w:val="ConsPlusTextList0"/>
    <w:qFormat/>
    <w:rPr>
      <w:rFonts w:ascii="Times New Roman" w:hAnsi="Times New Roman"/>
      <w:color w:val="000000"/>
      <w:sz w:val="24"/>
    </w:rPr>
  </w:style>
  <w:style w:type="character" w:customStyle="1" w:styleId="afe">
    <w:name w:val="Гипертекстовая ссылка"/>
    <w:link w:val="aff"/>
    <w:qFormat/>
    <w:rPr>
      <w:b w:val="0"/>
      <w:color w:val="008000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f0">
    <w:name w:val="Верхний и нижний колонтитулы"/>
    <w:link w:val="aff1"/>
    <w:qFormat/>
  </w:style>
  <w:style w:type="character" w:customStyle="1" w:styleId="18">
    <w:name w:val="Подзаголовок1"/>
    <w:qFormat/>
    <w:rPr>
      <w:rFonts w:ascii="XO Thames" w:hAnsi="XO Thames"/>
      <w:i/>
      <w:sz w:val="24"/>
    </w:rPr>
  </w:style>
  <w:style w:type="character" w:customStyle="1" w:styleId="19">
    <w:name w:val="Нижний колонтитул1"/>
    <w:qFormat/>
  </w:style>
  <w:style w:type="character" w:customStyle="1" w:styleId="1a">
    <w:name w:val="Верхний колонтитул1"/>
    <w:qFormat/>
  </w:style>
  <w:style w:type="character" w:customStyle="1" w:styleId="ConsPlusJurTerm">
    <w:name w:val="ConsPlusJurTerm"/>
    <w:link w:val="ConsPlusJurTerm0"/>
    <w:qFormat/>
    <w:rPr>
      <w:rFonts w:ascii="Times New Roman" w:hAnsi="Times New Roman"/>
      <w:color w:val="000000"/>
      <w:sz w:val="24"/>
    </w:rPr>
  </w:style>
  <w:style w:type="character" w:customStyle="1" w:styleId="24">
    <w:name w:val="Заголовок2"/>
    <w:qFormat/>
    <w:rPr>
      <w:rFonts w:ascii="Times New Roman" w:hAnsi="Times New Roman"/>
      <w:b/>
      <w:sz w:val="24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ConsPlusDocList">
    <w:name w:val="ConsPlusDocList"/>
    <w:link w:val="ConsPlusDocList0"/>
    <w:qFormat/>
    <w:rPr>
      <w:rFonts w:ascii="Tahoma" w:hAnsi="Tahoma"/>
      <w:color w:val="000000"/>
      <w:sz w:val="18"/>
    </w:rPr>
  </w:style>
  <w:style w:type="character" w:customStyle="1" w:styleId="aff2">
    <w:name w:val="Текст выноски Знак"/>
    <w:link w:val="aff3"/>
    <w:qFormat/>
    <w:rPr>
      <w:rFonts w:ascii="Tahoma" w:hAnsi="Tahoma"/>
      <w:sz w:val="16"/>
    </w:rPr>
  </w:style>
  <w:style w:type="character" w:customStyle="1" w:styleId="aff4">
    <w:name w:val="Основной текст Знак"/>
    <w:link w:val="aff5"/>
    <w:qFormat/>
    <w:rPr>
      <w:sz w:val="22"/>
    </w:rPr>
  </w:style>
  <w:style w:type="character" w:customStyle="1" w:styleId="30">
    <w:name w:val="Заголовок 3 Знак"/>
    <w:link w:val="32"/>
    <w:qFormat/>
    <w:rPr>
      <w:rFonts w:ascii="Cambria" w:hAnsi="Cambria"/>
      <w:b/>
      <w:sz w:val="26"/>
    </w:rPr>
  </w:style>
  <w:style w:type="character" w:customStyle="1" w:styleId="212">
    <w:name w:val="Заголовок 21"/>
    <w:qFormat/>
    <w:rPr>
      <w:rFonts w:ascii="Cambria" w:hAnsi="Cambria"/>
      <w:b/>
      <w:i/>
      <w:sz w:val="28"/>
    </w:rPr>
  </w:style>
  <w:style w:type="character" w:customStyle="1" w:styleId="25">
    <w:name w:val="Название объекта2"/>
    <w:qFormat/>
    <w:rPr>
      <w:rFonts w:ascii="PT Astra Serif" w:hAnsi="PT Astra Serif"/>
      <w:i/>
      <w:sz w:val="24"/>
    </w:rPr>
  </w:style>
  <w:style w:type="character" w:customStyle="1" w:styleId="aff6">
    <w:name w:val="Цветовое выделение"/>
    <w:link w:val="aff7"/>
    <w:qFormat/>
    <w:rPr>
      <w:b/>
      <w:color w:val="26282F"/>
    </w:rPr>
  </w:style>
  <w:style w:type="paragraph" w:styleId="af1">
    <w:name w:val="Title"/>
    <w:basedOn w:val="a"/>
    <w:next w:val="aff8"/>
    <w:link w:val="af0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  <w:rPr>
      <w:rFonts w:ascii="PT Astra Serif" w:hAnsi="PT Astra Serif"/>
    </w:rPr>
  </w:style>
  <w:style w:type="paragraph" w:styleId="af3">
    <w:name w:val="caption"/>
    <w:basedOn w:val="a"/>
    <w:link w:val="af2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b">
    <w:name w:val="index heading"/>
    <w:basedOn w:val="a"/>
    <w:link w:val="ac"/>
    <w:qFormat/>
    <w:rPr>
      <w:rFonts w:ascii="PT Astra Serif" w:hAnsi="PT Astra Serif"/>
    </w:rPr>
  </w:style>
  <w:style w:type="paragraph" w:styleId="a3">
    <w:name w:val="Balloon Text"/>
    <w:basedOn w:val="a"/>
    <w:link w:val="10"/>
    <w:qFormat/>
    <w:pPr>
      <w:spacing w:after="0" w:line="240" w:lineRule="auto"/>
    </w:pPr>
    <w:rPr>
      <w:rFonts w:ascii="Tahoma" w:hAnsi="Tahoma"/>
      <w:sz w:val="16"/>
    </w:rPr>
  </w:style>
  <w:style w:type="paragraph" w:styleId="26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sPlusNormal0">
    <w:name w:val="ConsPlusNormal Знак"/>
    <w:link w:val="ConsPlusNormal"/>
    <w:qFormat/>
    <w:rPr>
      <w:rFonts w:ascii="Arial" w:hAnsi="Arial"/>
    </w:rPr>
  </w:style>
  <w:style w:type="paragraph" w:customStyle="1" w:styleId="a5">
    <w:name w:val="Нижний колонтитул Знак"/>
    <w:link w:val="a4"/>
    <w:qFormat/>
    <w:rPr>
      <w:sz w:val="22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a7">
    <w:name w:val="Нормальный (таблица)"/>
    <w:basedOn w:val="a"/>
    <w:next w:val="a"/>
    <w:link w:val="a6"/>
    <w:qFormat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sPlusTitle0">
    <w:name w:val="ConsPlusTitle"/>
    <w:link w:val="ConsPlusTitle"/>
    <w:qFormat/>
    <w:pPr>
      <w:widowControl w:val="0"/>
    </w:pPr>
    <w:rPr>
      <w:rFonts w:ascii="Arial" w:hAnsi="Arial"/>
      <w:b/>
      <w:sz w:val="24"/>
    </w:rPr>
  </w:style>
  <w:style w:type="paragraph" w:styleId="20">
    <w:name w:val="Body Text Indent 2"/>
    <w:basedOn w:val="a"/>
    <w:link w:val="22"/>
    <w:qFormat/>
    <w:pPr>
      <w:spacing w:after="0" w:line="240" w:lineRule="auto"/>
      <w:ind w:left="360"/>
      <w:jc w:val="both"/>
    </w:pPr>
    <w:rPr>
      <w:rFonts w:ascii="Times New Roman" w:hAnsi="Times New Roman"/>
      <w:sz w:val="24"/>
    </w:rPr>
  </w:style>
  <w:style w:type="paragraph" w:customStyle="1" w:styleId="-">
    <w:name w:val="Интернет-ссылка"/>
    <w:link w:val="a8"/>
    <w:qFormat/>
    <w:rPr>
      <w:color w:val="0000FF"/>
      <w:u w:val="single"/>
    </w:rPr>
  </w:style>
  <w:style w:type="paragraph" w:customStyle="1" w:styleId="ConsPlusCell0">
    <w:name w:val="ConsPlusCell"/>
    <w:link w:val="ConsPlusCell"/>
    <w:qFormat/>
    <w:rPr>
      <w:rFonts w:ascii="Times New Roman" w:hAnsi="Times New Roman"/>
      <w:sz w:val="28"/>
    </w:rPr>
  </w:style>
  <w:style w:type="paragraph" w:customStyle="1" w:styleId="aa">
    <w:name w:val="Название Знак"/>
    <w:link w:val="a9"/>
    <w:qFormat/>
    <w:rPr>
      <w:rFonts w:ascii="Times New Roman" w:hAnsi="Times New Roman"/>
      <w:b/>
      <w:sz w:val="24"/>
    </w:rPr>
  </w:style>
  <w:style w:type="paragraph" w:customStyle="1" w:styleId="23">
    <w:name w:val="Основной текст с отступом 2 Знак"/>
    <w:link w:val="21"/>
    <w:qFormat/>
    <w:rPr>
      <w:rFonts w:ascii="Times New Roman" w:hAnsi="Times New Roman"/>
      <w:sz w:val="24"/>
    </w:rPr>
  </w:style>
  <w:style w:type="paragraph" w:customStyle="1" w:styleId="formattext0">
    <w:name w:val="formattext"/>
    <w:basedOn w:val="a"/>
    <w:link w:val="formattext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33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211">
    <w:name w:val="Основной текст с отступом 2 Знак1"/>
    <w:link w:val="210"/>
    <w:qFormat/>
    <w:rPr>
      <w:rFonts w:ascii="Cambria" w:hAnsi="Cambria"/>
      <w:b/>
      <w:i/>
      <w:sz w:val="28"/>
    </w:rPr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  <w:sz w:val="22"/>
    </w:rPr>
  </w:style>
  <w:style w:type="paragraph" w:customStyle="1" w:styleId="12">
    <w:name w:val="Замещающий текст1"/>
    <w:basedOn w:val="1b"/>
    <w:link w:val="ad"/>
    <w:qFormat/>
    <w:rPr>
      <w:color w:val="808080"/>
    </w:rPr>
  </w:style>
  <w:style w:type="paragraph" w:styleId="af">
    <w:name w:val="List Paragraph"/>
    <w:basedOn w:val="a"/>
    <w:link w:val="ae"/>
    <w:qFormat/>
    <w:pPr>
      <w:spacing w:after="0" w:line="240" w:lineRule="auto"/>
      <w:ind w:left="720"/>
    </w:pPr>
    <w:rPr>
      <w:rFonts w:ascii="Times New Roman" w:hAnsi="Times New Roman"/>
      <w:sz w:val="24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c">
    <w:name w:val="toc 1"/>
    <w:next w:val="a"/>
    <w:uiPriority w:val="39"/>
    <w:rPr>
      <w:rFonts w:ascii="XO Thames" w:hAnsi="XO Thames"/>
      <w:b/>
      <w:sz w:val="28"/>
    </w:rPr>
  </w:style>
  <w:style w:type="paragraph" w:customStyle="1" w:styleId="15">
    <w:name w:val="Заголовок 1 Знак"/>
    <w:link w:val="14"/>
    <w:qFormat/>
    <w:rPr>
      <w:rFonts w:ascii="Cambria" w:hAnsi="Cambria"/>
      <w:b/>
      <w:sz w:val="32"/>
    </w:rPr>
  </w:style>
  <w:style w:type="paragraph" w:customStyle="1" w:styleId="affa">
    <w:name w:val="Колонтитул"/>
    <w:qFormat/>
    <w:pPr>
      <w:jc w:val="both"/>
    </w:pPr>
    <w:rPr>
      <w:rFonts w:ascii="XO Thames" w:hAnsi="XO Thames"/>
    </w:rPr>
  </w:style>
  <w:style w:type="paragraph" w:customStyle="1" w:styleId="ConsPlusNormal2">
    <w:name w:val="ConsPlusNormal"/>
    <w:link w:val="ConsPlusNormal1"/>
    <w:qFormat/>
    <w:pPr>
      <w:widowControl w:val="0"/>
      <w:ind w:firstLine="720"/>
    </w:pPr>
    <w:rPr>
      <w:rFonts w:ascii="Arial" w:hAnsi="Arial"/>
      <w:sz w:val="22"/>
    </w:rPr>
  </w:style>
  <w:style w:type="paragraph" w:customStyle="1" w:styleId="af5">
    <w:name w:val="Прижатый влево"/>
    <w:basedOn w:val="a"/>
    <w:next w:val="a"/>
    <w:link w:val="af4"/>
    <w:qFormat/>
    <w:pPr>
      <w:widowControl w:val="0"/>
      <w:spacing w:after="0" w:line="240" w:lineRule="auto"/>
    </w:pPr>
    <w:rPr>
      <w:rFonts w:ascii="Arial" w:hAnsi="Arial"/>
      <w:sz w:val="24"/>
    </w:rPr>
  </w:style>
  <w:style w:type="paragraph" w:customStyle="1" w:styleId="af7">
    <w:name w:val="Таблицы (моноширинный)"/>
    <w:basedOn w:val="a"/>
    <w:next w:val="a"/>
    <w:link w:val="af6"/>
    <w:qFormat/>
    <w:pPr>
      <w:widowControl w:val="0"/>
      <w:spacing w:after="0" w:line="240" w:lineRule="auto"/>
    </w:pPr>
    <w:rPr>
      <w:rFonts w:ascii="Courier New" w:hAnsi="Courier New"/>
      <w:sz w:val="24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7">
    <w:name w:val="Основной текст1"/>
    <w:link w:val="16"/>
    <w:qFormat/>
    <w:rPr>
      <w:rFonts w:ascii="Times New Roman" w:hAnsi="Times New Roman"/>
      <w:sz w:val="25"/>
    </w:rPr>
  </w:style>
  <w:style w:type="paragraph" w:customStyle="1" w:styleId="ConsPlusTitlePage0">
    <w:name w:val="ConsPlusTitlePage"/>
    <w:link w:val="ConsPlusTitlePage"/>
    <w:qFormat/>
    <w:pPr>
      <w:widowControl w:val="0"/>
    </w:pPr>
    <w:rPr>
      <w:rFonts w:ascii="Tahoma" w:hAnsi="Tahoma"/>
      <w:sz w:val="24"/>
    </w:rPr>
  </w:style>
  <w:style w:type="paragraph" w:styleId="af9">
    <w:name w:val="No Spacing"/>
    <w:link w:val="af8"/>
    <w:qFormat/>
    <w:pPr>
      <w:widowControl w:val="0"/>
      <w:ind w:firstLine="720"/>
      <w:jc w:val="both"/>
    </w:pPr>
    <w:rPr>
      <w:rFonts w:ascii="Times New Roman CYR" w:hAnsi="Times New Roman CYR"/>
      <w:sz w:val="24"/>
    </w:rPr>
  </w:style>
  <w:style w:type="paragraph" w:customStyle="1" w:styleId="ConsPlusTextList10">
    <w:name w:val="ConsPlusTextList1"/>
    <w:link w:val="ConsPlusTextList1"/>
    <w:qFormat/>
    <w:pPr>
      <w:widowControl w:val="0"/>
    </w:pPr>
    <w:rPr>
      <w:rFonts w:ascii="Times New Roman" w:hAnsi="Times New Roman"/>
      <w:sz w:val="24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afb">
    <w:name w:val="Посещённая гиперссылка"/>
    <w:basedOn w:val="1b"/>
    <w:link w:val="afa"/>
    <w:qFormat/>
    <w:rPr>
      <w:color w:val="800080" w:themeColor="followedHyperlink"/>
      <w:u w:val="single"/>
    </w:rPr>
  </w:style>
  <w:style w:type="paragraph" w:customStyle="1" w:styleId="afd">
    <w:name w:val="Верхний колонтитул Знак"/>
    <w:link w:val="afc"/>
    <w:qFormat/>
    <w:rPr>
      <w:sz w:val="22"/>
    </w:rPr>
  </w:style>
  <w:style w:type="paragraph" w:customStyle="1" w:styleId="ConsPlusTextList0">
    <w:name w:val="ConsPlusTextList"/>
    <w:link w:val="ConsPlusTextList"/>
    <w:qFormat/>
    <w:pPr>
      <w:widowControl w:val="0"/>
    </w:pPr>
    <w:rPr>
      <w:rFonts w:ascii="Times New Roman" w:hAnsi="Times New Roman"/>
      <w:sz w:val="24"/>
    </w:rPr>
  </w:style>
  <w:style w:type="paragraph" w:customStyle="1" w:styleId="aff">
    <w:name w:val="Гипертекстовая ссылка"/>
    <w:link w:val="afe"/>
    <w:qFormat/>
    <w:rPr>
      <w:color w:val="008000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aff1">
    <w:name w:val="Верхний и нижний колонтитулы"/>
    <w:basedOn w:val="a"/>
    <w:link w:val="aff0"/>
    <w:qFormat/>
  </w:style>
  <w:style w:type="paragraph" w:styleId="affb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fc">
    <w:name w:val="footer"/>
    <w:basedOn w:val="a"/>
    <w:pPr>
      <w:tabs>
        <w:tab w:val="center" w:pos="4677"/>
        <w:tab w:val="right" w:pos="9355"/>
      </w:tabs>
    </w:pPr>
  </w:style>
  <w:style w:type="paragraph" w:styleId="affd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JurTerm0">
    <w:name w:val="ConsPlusJurTerm"/>
    <w:link w:val="ConsPlusJurTerm"/>
    <w:qFormat/>
    <w:pPr>
      <w:widowControl w:val="0"/>
    </w:pPr>
    <w:rPr>
      <w:rFonts w:ascii="Times New Roman" w:hAnsi="Times New Roman"/>
      <w:sz w:val="24"/>
    </w:rPr>
  </w:style>
  <w:style w:type="paragraph" w:customStyle="1" w:styleId="ConsPlusDocList0">
    <w:name w:val="ConsPlusDocList"/>
    <w:link w:val="ConsPlusDocList"/>
    <w:qFormat/>
    <w:pPr>
      <w:widowControl w:val="0"/>
    </w:pPr>
    <w:rPr>
      <w:rFonts w:ascii="Tahoma" w:hAnsi="Tahoma"/>
      <w:sz w:val="18"/>
    </w:rPr>
  </w:style>
  <w:style w:type="paragraph" w:customStyle="1" w:styleId="1b">
    <w:name w:val="Основной шрифт абзаца1"/>
    <w:qFormat/>
  </w:style>
  <w:style w:type="paragraph" w:customStyle="1" w:styleId="aff3">
    <w:name w:val="Текст выноски Знак"/>
    <w:link w:val="aff2"/>
    <w:qFormat/>
    <w:rPr>
      <w:rFonts w:ascii="Tahoma" w:hAnsi="Tahoma"/>
      <w:sz w:val="16"/>
    </w:rPr>
  </w:style>
  <w:style w:type="paragraph" w:customStyle="1" w:styleId="aff5">
    <w:name w:val="Основной текст Знак"/>
    <w:link w:val="aff4"/>
    <w:qFormat/>
    <w:rPr>
      <w:sz w:val="22"/>
    </w:rPr>
  </w:style>
  <w:style w:type="paragraph" w:customStyle="1" w:styleId="32">
    <w:name w:val="Заголовок 3 Знак"/>
    <w:link w:val="30"/>
    <w:qFormat/>
    <w:rPr>
      <w:rFonts w:ascii="Cambria" w:hAnsi="Cambria"/>
      <w:b/>
      <w:sz w:val="26"/>
    </w:rPr>
  </w:style>
  <w:style w:type="paragraph" w:customStyle="1" w:styleId="aff7">
    <w:name w:val="Цветовое выделение"/>
    <w:link w:val="aff6"/>
    <w:qFormat/>
    <w:rPr>
      <w:b/>
      <w:color w:val="26282F"/>
    </w:rPr>
  </w:style>
  <w:style w:type="table" w:styleId="affe">
    <w:name w:val="Table Grid"/>
    <w:basedOn w:val="a1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d">
    <w:name w:val="Сетка таблицы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3453&amp;date=17.08.2022" TargetMode="External"/><Relationship Id="rId13" Type="http://schemas.openxmlformats.org/officeDocument/2006/relationships/hyperlink" Target="https://login.consultant.ru/link/?req=doc&amp;base=LAW&amp;n=422112&amp;date=17.08.2022&amp;dst=3704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3453&amp;date=17.08.2022" TargetMode="Externa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11" Type="http://schemas.openxmlformats.org/officeDocument/2006/relationships/hyperlink" Target="https://login.consultant.ru/link/?req=doc&amp;base=LAW&amp;n=26303&amp;date=17.08.2022&amp;dst=100168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26303&amp;date=17.08.2022&amp;dst=10016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samba.mship.local\&#1052;&#1057;&#1061;_&#1054;&#1073;&#1097;&#1072;&#1103;\&#1048;&#1085;&#1074;&#1077;&#1089;&#1090;&#1080;&#1094;&#1055;&#1086;&#1083;&#1080;&#1090;\&#1043;&#1091;&#1083;&#1080;&#1103;%20&#1053;&#1080;&#1079;&#1072;&#1077;&#1074;&#1072;\20.06.2023\h" TargetMode="External"/><Relationship Id="rId14" Type="http://schemas.openxmlformats.org/officeDocument/2006/relationships/hyperlink" Target="https://login.consultant.ru/link/?req=doc&amp;base=LAW&amp;n=422112&amp;date=17.08.2022&amp;dst=372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11204</Words>
  <Characters>63868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YuristMCX</dc:creator>
  <dc:description/>
  <cp:lastModifiedBy>YuristMCX</cp:lastModifiedBy>
  <cp:revision>2</cp:revision>
  <dcterms:created xsi:type="dcterms:W3CDTF">2023-06-29T08:48:00Z</dcterms:created>
  <dcterms:modified xsi:type="dcterms:W3CDTF">2023-06-29T08:48:00Z</dcterms:modified>
  <dc:language>ru-RU</dc:language>
</cp:coreProperties>
</file>