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autoSpaceDE w:val="0"/>
        <w:autoSpaceDN w:val="0"/>
        <w:adjustRightInd w:val="0"/>
        <w:ind w:left="5103"/>
        <w:outlineLvl w:val="0"/>
        <w:rPr>
          <w:bCs/>
          <w:szCs w:val="28"/>
          <w:lang w:eastAsia="ru-RU"/>
        </w:rPr>
      </w:pPr>
      <w:r>
        <w:rPr>
          <w:bCs/>
          <w:szCs w:val="28"/>
          <w:lang w:eastAsia="ru-RU"/>
        </w:rPr>
        <w:t>Контактные лица для направления</w:t>
      </w:r>
    </w:p>
    <w:p>
      <w:pPr>
        <w:suppressAutoHyphens w:val="0"/>
        <w:autoSpaceDE w:val="0"/>
        <w:autoSpaceDN w:val="0"/>
        <w:adjustRightInd w:val="0"/>
        <w:ind w:left="5103"/>
        <w:outlineLvl w:val="0"/>
        <w:rPr>
          <w:bCs/>
          <w:szCs w:val="28"/>
          <w:lang w:eastAsia="ru-RU"/>
        </w:rPr>
      </w:pPr>
      <w:r>
        <w:rPr>
          <w:bCs/>
          <w:szCs w:val="28"/>
          <w:lang w:eastAsia="ru-RU"/>
        </w:rPr>
        <w:t>замечаний и предложений:</w:t>
      </w:r>
    </w:p>
    <w:p>
      <w:pPr>
        <w:suppressAutoHyphens w:val="0"/>
        <w:autoSpaceDE w:val="0"/>
        <w:autoSpaceDN w:val="0"/>
        <w:adjustRightInd w:val="0"/>
        <w:ind w:left="5103"/>
        <w:outlineLvl w:val="0"/>
        <w:rPr>
          <w:bCs/>
          <w:szCs w:val="28"/>
          <w:lang w:eastAsia="ru-RU"/>
        </w:rPr>
      </w:pPr>
      <w:proofErr w:type="spellStart"/>
      <w:r>
        <w:rPr>
          <w:bCs/>
          <w:szCs w:val="28"/>
          <w:lang w:eastAsia="ru-RU"/>
        </w:rPr>
        <w:t>Исхаков</w:t>
      </w:r>
      <w:proofErr w:type="spellEnd"/>
      <w:r>
        <w:rPr>
          <w:bCs/>
          <w:szCs w:val="28"/>
          <w:lang w:eastAsia="ru-RU"/>
        </w:rPr>
        <w:t xml:space="preserve"> Рузаль </w:t>
      </w:r>
      <w:proofErr w:type="spellStart"/>
      <w:r>
        <w:rPr>
          <w:bCs/>
          <w:szCs w:val="28"/>
          <w:lang w:eastAsia="ru-RU"/>
        </w:rPr>
        <w:t>Гарифзянович</w:t>
      </w:r>
      <w:proofErr w:type="spellEnd"/>
    </w:p>
    <w:p>
      <w:pPr>
        <w:suppressAutoHyphens w:val="0"/>
        <w:autoSpaceDE w:val="0"/>
        <w:autoSpaceDN w:val="0"/>
        <w:adjustRightInd w:val="0"/>
        <w:ind w:left="5103"/>
        <w:outlineLvl w:val="0"/>
        <w:rPr>
          <w:bCs/>
          <w:szCs w:val="28"/>
          <w:lang w:eastAsia="ru-RU"/>
        </w:rPr>
      </w:pPr>
      <w:r>
        <w:rPr>
          <w:bCs/>
          <w:szCs w:val="28"/>
          <w:lang w:eastAsia="ru-RU"/>
        </w:rPr>
        <w:t>Начальник отдела инвестиционной политики и целевых программ</w:t>
      </w:r>
    </w:p>
    <w:p>
      <w:pPr>
        <w:suppressAutoHyphens w:val="0"/>
        <w:autoSpaceDE w:val="0"/>
        <w:autoSpaceDN w:val="0"/>
        <w:adjustRightInd w:val="0"/>
        <w:ind w:left="5103"/>
        <w:outlineLvl w:val="0"/>
        <w:rPr>
          <w:bCs/>
          <w:szCs w:val="28"/>
          <w:lang w:eastAsia="ru-RU"/>
        </w:rPr>
      </w:pPr>
      <w:r>
        <w:rPr>
          <w:bCs/>
          <w:szCs w:val="28"/>
          <w:lang w:eastAsia="ru-RU"/>
        </w:rPr>
        <w:t>Телефон: +7 (843) 221-76-88</w:t>
      </w:r>
    </w:p>
    <w:p>
      <w:pPr>
        <w:suppressAutoHyphens w:val="0"/>
        <w:autoSpaceDE w:val="0"/>
        <w:autoSpaceDN w:val="0"/>
        <w:adjustRightInd w:val="0"/>
        <w:ind w:left="5103"/>
        <w:outlineLvl w:val="0"/>
        <w:rPr>
          <w:bCs/>
          <w:szCs w:val="28"/>
          <w:lang w:eastAsia="ru-RU"/>
        </w:rPr>
      </w:pPr>
      <w:r>
        <w:rPr>
          <w:bCs/>
          <w:szCs w:val="28"/>
          <w:lang w:val="en-US" w:eastAsia="ru-RU"/>
        </w:rPr>
        <w:t>Email</w:t>
      </w:r>
      <w:r>
        <w:rPr>
          <w:bCs/>
          <w:szCs w:val="28"/>
          <w:lang w:eastAsia="ru-RU"/>
        </w:rPr>
        <w:t xml:space="preserve">: </w:t>
      </w:r>
      <w:r>
        <w:rPr>
          <w:color w:val="000000"/>
          <w:szCs w:val="20"/>
          <w:lang w:eastAsia="ru-RU"/>
        </w:rPr>
        <w:t>ruzal.iskhakov@tatarstan.ru</w:t>
      </w:r>
    </w:p>
    <w:p>
      <w:pPr>
        <w:suppressAutoHyphens w:val="0"/>
        <w:autoSpaceDE w:val="0"/>
        <w:autoSpaceDN w:val="0"/>
        <w:adjustRightInd w:val="0"/>
        <w:ind w:left="5103"/>
        <w:outlineLvl w:val="0"/>
        <w:rPr>
          <w:bCs/>
          <w:szCs w:val="28"/>
          <w:lang w:eastAsia="ru-RU"/>
        </w:rPr>
      </w:pPr>
      <w:r>
        <w:rPr>
          <w:bCs/>
          <w:szCs w:val="28"/>
          <w:lang w:eastAsia="ru-RU"/>
        </w:rPr>
        <w:t>Калимуллин Ильнар Ирекович</w:t>
      </w:r>
    </w:p>
    <w:p>
      <w:pPr>
        <w:suppressAutoHyphens w:val="0"/>
        <w:autoSpaceDE w:val="0"/>
        <w:autoSpaceDN w:val="0"/>
        <w:adjustRightInd w:val="0"/>
        <w:ind w:left="5103"/>
        <w:outlineLvl w:val="0"/>
        <w:rPr>
          <w:bCs/>
          <w:szCs w:val="28"/>
          <w:lang w:eastAsia="ru-RU"/>
        </w:rPr>
      </w:pPr>
      <w:r>
        <w:rPr>
          <w:bCs/>
          <w:szCs w:val="28"/>
          <w:lang w:eastAsia="ru-RU"/>
        </w:rPr>
        <w:t>Начальник юридического отдела</w:t>
      </w:r>
    </w:p>
    <w:p>
      <w:pPr>
        <w:suppressAutoHyphens w:val="0"/>
        <w:autoSpaceDE w:val="0"/>
        <w:autoSpaceDN w:val="0"/>
        <w:adjustRightInd w:val="0"/>
        <w:ind w:left="5103"/>
        <w:outlineLvl w:val="0"/>
        <w:rPr>
          <w:bCs/>
          <w:szCs w:val="28"/>
          <w:lang w:eastAsia="ru-RU"/>
        </w:rPr>
      </w:pPr>
      <w:r>
        <w:rPr>
          <w:bCs/>
          <w:szCs w:val="28"/>
          <w:lang w:eastAsia="ru-RU"/>
        </w:rPr>
        <w:t>Адрес: г. Казань, ул.</w:t>
      </w:r>
      <w:r>
        <w:rPr>
          <w:bCs/>
          <w:szCs w:val="28"/>
          <w:lang w:val="en-US" w:eastAsia="ru-RU"/>
        </w:rPr>
        <w:t> </w:t>
      </w:r>
      <w:r>
        <w:rPr>
          <w:bCs/>
          <w:szCs w:val="28"/>
          <w:lang w:eastAsia="ru-RU"/>
        </w:rPr>
        <w:t>Федосеевская, 36</w:t>
      </w:r>
    </w:p>
    <w:p>
      <w:pPr>
        <w:suppressAutoHyphens w:val="0"/>
        <w:autoSpaceDE w:val="0"/>
        <w:autoSpaceDN w:val="0"/>
        <w:adjustRightInd w:val="0"/>
        <w:ind w:left="5103"/>
        <w:outlineLvl w:val="0"/>
        <w:rPr>
          <w:bCs/>
          <w:szCs w:val="28"/>
          <w:lang w:eastAsia="ru-RU"/>
        </w:rPr>
      </w:pPr>
      <w:r>
        <w:rPr>
          <w:bCs/>
          <w:szCs w:val="28"/>
          <w:lang w:eastAsia="ru-RU"/>
        </w:rPr>
        <w:t>Телефон: +7 (843) 221-76-14</w:t>
      </w:r>
    </w:p>
    <w:p>
      <w:pPr>
        <w:suppressAutoHyphens w:val="0"/>
        <w:autoSpaceDE w:val="0"/>
        <w:autoSpaceDN w:val="0"/>
        <w:adjustRightInd w:val="0"/>
        <w:ind w:left="5103"/>
        <w:outlineLvl w:val="0"/>
        <w:rPr>
          <w:bCs/>
          <w:szCs w:val="28"/>
          <w:lang w:eastAsia="ru-RU"/>
        </w:rPr>
      </w:pPr>
      <w:r>
        <w:rPr>
          <w:bCs/>
          <w:szCs w:val="28"/>
          <w:lang w:val="en-US" w:eastAsia="ru-RU"/>
        </w:rPr>
        <w:t>E</w:t>
      </w:r>
      <w:r>
        <w:rPr>
          <w:bCs/>
          <w:szCs w:val="28"/>
          <w:lang w:eastAsia="ru-RU"/>
        </w:rPr>
        <w:t>-</w:t>
      </w:r>
      <w:r>
        <w:rPr>
          <w:bCs/>
          <w:szCs w:val="28"/>
          <w:lang w:val="en-US" w:eastAsia="ru-RU"/>
        </w:rPr>
        <w:t>mail</w:t>
      </w:r>
      <w:r>
        <w:rPr>
          <w:bCs/>
          <w:szCs w:val="28"/>
          <w:lang w:eastAsia="ru-RU"/>
        </w:rPr>
        <w:t xml:space="preserve">: </w:t>
      </w:r>
      <w:hyperlink r:id="rId5" w:history="1">
        <w:r>
          <w:rPr>
            <w:bCs/>
            <w:szCs w:val="28"/>
            <w:lang w:val="en-US" w:eastAsia="ru-RU"/>
          </w:rPr>
          <w:t>Ilnar</w:t>
        </w:r>
        <w:r>
          <w:rPr>
            <w:bCs/>
            <w:szCs w:val="28"/>
            <w:lang w:eastAsia="ru-RU"/>
          </w:rPr>
          <w:t>.</w:t>
        </w:r>
        <w:r>
          <w:rPr>
            <w:bCs/>
            <w:szCs w:val="28"/>
            <w:lang w:val="en-US" w:eastAsia="ru-RU"/>
          </w:rPr>
          <w:t>Kalimullin</w:t>
        </w:r>
        <w:r>
          <w:rPr>
            <w:bCs/>
            <w:szCs w:val="28"/>
            <w:lang w:eastAsia="ru-RU"/>
          </w:rPr>
          <w:t>@</w:t>
        </w:r>
        <w:proofErr w:type="spellStart"/>
        <w:r>
          <w:rPr>
            <w:bCs/>
            <w:szCs w:val="28"/>
            <w:lang w:val="en-US" w:eastAsia="ru-RU"/>
          </w:rPr>
          <w:t>tatar</w:t>
        </w:r>
        <w:proofErr w:type="spellEnd"/>
        <w:r>
          <w:rPr>
            <w:bCs/>
            <w:szCs w:val="28"/>
            <w:lang w:eastAsia="ru-RU"/>
          </w:rPr>
          <w:t>.</w:t>
        </w:r>
        <w:proofErr w:type="spellStart"/>
        <w:r>
          <w:rPr>
            <w:bCs/>
            <w:szCs w:val="28"/>
            <w:lang w:val="en-US" w:eastAsia="ru-RU"/>
          </w:rPr>
          <w:t>ru</w:t>
        </w:r>
        <w:proofErr w:type="spellEnd"/>
      </w:hyperlink>
    </w:p>
    <w:p>
      <w:pPr>
        <w:pStyle w:val="1"/>
        <w:tabs>
          <w:tab w:val="left" w:pos="4962"/>
        </w:tabs>
        <w:ind w:right="4677"/>
        <w:rPr>
          <w:spacing w:val="2"/>
          <w:sz w:val="28"/>
          <w:szCs w:val="28"/>
          <w:lang w:eastAsia="en-US"/>
        </w:rPr>
      </w:pPr>
    </w:p>
    <w:p>
      <w:pPr>
        <w:pStyle w:val="1"/>
        <w:tabs>
          <w:tab w:val="left" w:pos="4962"/>
        </w:tabs>
        <w:ind w:right="4677"/>
        <w:rPr>
          <w:spacing w:val="2"/>
          <w:sz w:val="28"/>
          <w:szCs w:val="28"/>
          <w:lang w:eastAsia="en-US"/>
        </w:rPr>
      </w:pPr>
      <w:bookmarkStart w:id="0" w:name="_GoBack"/>
      <w:bookmarkEnd w:id="0"/>
      <w:r>
        <w:rPr>
          <w:b w:val="0"/>
          <w:spacing w:val="2"/>
          <w:sz w:val="28"/>
          <w:szCs w:val="28"/>
          <w:lang w:eastAsia="en-US"/>
        </w:rPr>
        <w:t xml:space="preserve">Об утверждении </w:t>
      </w:r>
      <w:r>
        <w:rPr>
          <w:b w:val="0"/>
          <w:color w:val="000000"/>
          <w:sz w:val="28"/>
          <w:szCs w:val="28"/>
        </w:rPr>
        <w:t xml:space="preserve">стоимости одного квадратного метра общей площади жилья на сельских территориях в Республике Татарстан для расчета размера субсидий на 2024 год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w:t>
      </w:r>
    </w:p>
    <w:p>
      <w:pPr>
        <w:autoSpaceDE w:val="0"/>
        <w:ind w:right="4677" w:firstLine="720"/>
        <w:jc w:val="both"/>
        <w:rPr>
          <w:b/>
          <w:spacing w:val="2"/>
          <w:szCs w:val="28"/>
          <w:lang w:eastAsia="en-US"/>
        </w:rPr>
      </w:pPr>
    </w:p>
    <w:p>
      <w:pPr>
        <w:pStyle w:val="ConsPlusNormal0"/>
        <w:ind w:right="-1"/>
        <w:jc w:val="both"/>
        <w:rPr>
          <w:rFonts w:ascii="Times New Roman" w:hAnsi="Times New Roman" w:cs="Times New Roman"/>
          <w:b/>
          <w:spacing w:val="2"/>
          <w:sz w:val="28"/>
          <w:szCs w:val="28"/>
          <w:lang w:eastAsia="en-US"/>
        </w:rPr>
      </w:pPr>
    </w:p>
    <w:p>
      <w:pPr>
        <w:ind w:firstLine="720"/>
        <w:jc w:val="both"/>
        <w:rPr>
          <w:color w:val="000000"/>
          <w:szCs w:val="28"/>
        </w:rPr>
      </w:pPr>
      <w:r>
        <w:rPr>
          <w:color w:val="000000"/>
        </w:rPr>
        <w:t xml:space="preserve">В соответствии с </w:t>
      </w:r>
      <w:r>
        <w:rPr>
          <w:color w:val="000000"/>
          <w:szCs w:val="28"/>
        </w:rPr>
        <w:t>пунктом 14 Порядка формирования, утверждения и изменения списков граждан – получателей жилья по договорам найма жилых помещений, утвержденного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Кабинет Министров Республики Татарстан ПОСТАНОВЛЯЕТ:</w:t>
      </w:r>
    </w:p>
    <w:p>
      <w:pPr>
        <w:pStyle w:val="a6"/>
        <w:ind w:firstLine="720"/>
        <w:rPr>
          <w:color w:val="000000"/>
          <w:szCs w:val="28"/>
        </w:rPr>
      </w:pPr>
    </w:p>
    <w:p>
      <w:pPr>
        <w:pStyle w:val="a6"/>
        <w:ind w:firstLine="720"/>
        <w:rPr>
          <w:color w:val="000000"/>
          <w:szCs w:val="28"/>
        </w:rPr>
      </w:pPr>
      <w:r>
        <w:rPr>
          <w:color w:val="000000"/>
          <w:szCs w:val="28"/>
        </w:rPr>
        <w:t>1. Утвердить стоимость одного квадратного метра общей площади жилья на сельских территориях в Республике Татарстан для расчета размера субсидий на 2024 год бюджетам муниципальных районов Республики Татарстан</w:t>
      </w:r>
      <w:r>
        <w:rPr>
          <w:b/>
          <w:color w:val="000000"/>
          <w:szCs w:val="28"/>
        </w:rPr>
        <w:t xml:space="preserve"> </w:t>
      </w:r>
      <w:r>
        <w:rPr>
          <w:color w:val="000000"/>
          <w:szCs w:val="28"/>
        </w:rPr>
        <w:t xml:space="preserve">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в размере                      62,0 </w:t>
      </w:r>
      <w:proofErr w:type="spellStart"/>
      <w:proofErr w:type="gramStart"/>
      <w:r>
        <w:rPr>
          <w:color w:val="000000"/>
          <w:szCs w:val="28"/>
        </w:rPr>
        <w:t>тыс.рублей</w:t>
      </w:r>
      <w:proofErr w:type="spellEnd"/>
      <w:proofErr w:type="gramEnd"/>
      <w:r>
        <w:rPr>
          <w:color w:val="000000"/>
          <w:szCs w:val="28"/>
        </w:rPr>
        <w:t>.</w:t>
      </w:r>
    </w:p>
    <w:p>
      <w:pPr>
        <w:ind w:firstLine="720"/>
        <w:jc w:val="both"/>
        <w:rPr>
          <w:color w:val="000000"/>
          <w:szCs w:val="28"/>
        </w:rPr>
      </w:pPr>
      <w:r>
        <w:rPr>
          <w:color w:val="000000"/>
          <w:szCs w:val="28"/>
        </w:rPr>
        <w:t>2. Признать утратившими силу следующие постановления Кабинета Министров Республики Татарстан:</w:t>
      </w:r>
    </w:p>
    <w:p>
      <w:pPr>
        <w:ind w:firstLine="720"/>
        <w:jc w:val="both"/>
        <w:rPr>
          <w:color w:val="000000"/>
          <w:szCs w:val="28"/>
        </w:rPr>
      </w:pPr>
      <w:r>
        <w:rPr>
          <w:color w:val="000000"/>
          <w:szCs w:val="28"/>
        </w:rPr>
        <w:lastRenderedPageBreak/>
        <w:t>от 31.01.2020 №50 «Об утверждении стоимости одного квадратного метра общей площади жилья на сельских территориях Республики Татарстан для расчета размера социальных выплат на 2020 год на проведение мероприятий по строительству жилья, предоставляемого гражданам Российской Федерации, проживающим на сельских территориях, по договору найма жилого помещения»;</w:t>
      </w:r>
    </w:p>
    <w:p>
      <w:pPr>
        <w:ind w:firstLine="720"/>
        <w:jc w:val="both"/>
        <w:rPr>
          <w:color w:val="000000"/>
          <w:szCs w:val="28"/>
        </w:rPr>
      </w:pPr>
      <w:r>
        <w:rPr>
          <w:color w:val="000000"/>
          <w:szCs w:val="28"/>
        </w:rPr>
        <w:t xml:space="preserve">от 14.05.2021 №331 «Об утверждении стоимости одного квадратного метра общей площади жилья на сельских территориях Республики Татарстан для расчета размера субсидий на 2021 год на оказание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w:t>
      </w:r>
    </w:p>
    <w:p>
      <w:pPr>
        <w:ind w:firstLine="720"/>
        <w:jc w:val="both"/>
        <w:rPr>
          <w:color w:val="000000"/>
          <w:szCs w:val="28"/>
        </w:rPr>
      </w:pPr>
      <w:r>
        <w:rPr>
          <w:color w:val="000000"/>
          <w:szCs w:val="28"/>
        </w:rPr>
        <w:t xml:space="preserve">от 14.02.2022 №129 «Об утверждении стоимости одного квадратного метра общей площади жилья на сельских территориях Республики Татарстан для расчета размера субсидий на 2022 год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w:t>
      </w:r>
    </w:p>
    <w:p>
      <w:pPr>
        <w:ind w:firstLine="720"/>
        <w:jc w:val="both"/>
        <w:rPr>
          <w:color w:val="000000"/>
          <w:szCs w:val="28"/>
        </w:rPr>
      </w:pPr>
    </w:p>
    <w:p>
      <w:pPr>
        <w:pStyle w:val="1"/>
        <w:tabs>
          <w:tab w:val="left" w:pos="4962"/>
        </w:tabs>
        <w:ind w:right="4677"/>
        <w:rPr>
          <w:color w:val="000000"/>
          <w:sz w:val="28"/>
          <w:szCs w:val="28"/>
        </w:rPr>
      </w:pPr>
    </w:p>
    <w:p>
      <w:pPr>
        <w:jc w:val="both"/>
      </w:pPr>
      <w:r>
        <w:t>Премьер-министр</w:t>
      </w:r>
    </w:p>
    <w:p>
      <w:pPr>
        <w:jc w:val="both"/>
      </w:pPr>
      <w:r>
        <w:t xml:space="preserve">Республики Татарстан                                                                          </w:t>
      </w:r>
      <w:proofErr w:type="spellStart"/>
      <w:r>
        <w:t>А.В.Песошин</w:t>
      </w:r>
      <w:proofErr w:type="spellEnd"/>
    </w:p>
    <w:p>
      <w:pPr>
        <w:pStyle w:val="1"/>
        <w:numPr>
          <w:ilvl w:val="0"/>
          <w:numId w:val="0"/>
        </w:numPr>
        <w:tabs>
          <w:tab w:val="left" w:pos="4962"/>
        </w:tabs>
        <w:ind w:right="4677"/>
      </w:pPr>
    </w:p>
    <w:p/>
    <w:p>
      <w:pPr>
        <w:jc w:val="center"/>
      </w:pPr>
      <w:r>
        <w:rPr>
          <w:bCs/>
        </w:rPr>
        <w:t>Пояснительная записка</w:t>
      </w:r>
    </w:p>
    <w:p>
      <w:pPr>
        <w:jc w:val="center"/>
        <w:rPr>
          <w:szCs w:val="28"/>
        </w:rPr>
      </w:pPr>
      <w:r>
        <w:t>к проекту постановления Кабинета Министров Республики Татарстан</w:t>
      </w:r>
    </w:p>
    <w:p>
      <w:pPr>
        <w:jc w:val="center"/>
      </w:pPr>
      <w:r>
        <w:rPr>
          <w:szCs w:val="28"/>
        </w:rPr>
        <w:t>«</w:t>
      </w:r>
      <w:r>
        <w:rPr>
          <w:spacing w:val="2"/>
          <w:szCs w:val="28"/>
          <w:lang w:eastAsia="en-US"/>
        </w:rPr>
        <w:t xml:space="preserve">Об утверждении </w:t>
      </w:r>
      <w:r>
        <w:rPr>
          <w:bCs/>
          <w:color w:val="000000"/>
          <w:szCs w:val="28"/>
        </w:rPr>
        <w:t xml:space="preserve">стоимости одного квадратного метра общей площади жилья на сельских территориях в Республике Татарстан для расчета размера </w:t>
      </w:r>
      <w:r>
        <w:rPr>
          <w:color w:val="000000"/>
          <w:szCs w:val="28"/>
        </w:rPr>
        <w:t xml:space="preserve">субсидий на              2024 </w:t>
      </w:r>
      <w:r>
        <w:rPr>
          <w:spacing w:val="2"/>
          <w:szCs w:val="28"/>
          <w:lang w:eastAsia="en-US"/>
        </w:rPr>
        <w:t>год бюджетам муниципальных районов Республики Татарстан</w:t>
      </w:r>
      <w:r>
        <w:rPr>
          <w:b/>
          <w:color w:val="000000"/>
          <w:szCs w:val="28"/>
        </w:rPr>
        <w:t xml:space="preserve"> </w:t>
      </w:r>
      <w:r>
        <w:rPr>
          <w:color w:val="000000"/>
          <w:szCs w:val="28"/>
        </w:rPr>
        <w:t>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p>
      <w:pPr>
        <w:jc w:val="both"/>
      </w:pPr>
    </w:p>
    <w:p>
      <w:pPr>
        <w:ind w:firstLine="709"/>
        <w:jc w:val="both"/>
      </w:pPr>
      <w:r>
        <w:rPr>
          <w:color w:val="000000"/>
        </w:rPr>
        <w:t xml:space="preserve">Проект постановления </w:t>
      </w:r>
      <w:r>
        <w:t xml:space="preserve">Кабинета Министров Республики Татарстан                     </w:t>
      </w:r>
      <w:r>
        <w:rPr>
          <w:szCs w:val="28"/>
        </w:rPr>
        <w:t>«</w:t>
      </w:r>
      <w:r>
        <w:rPr>
          <w:spacing w:val="2"/>
          <w:szCs w:val="28"/>
          <w:lang w:eastAsia="en-US"/>
        </w:rPr>
        <w:t xml:space="preserve">Об утверждении </w:t>
      </w:r>
      <w:r>
        <w:rPr>
          <w:bCs/>
          <w:color w:val="000000"/>
          <w:szCs w:val="28"/>
        </w:rPr>
        <w:t xml:space="preserve">стоимости одного  квадратного метра общей площади  жилья на сельских территориях в Республике Татарстан для расчета размера </w:t>
      </w:r>
      <w:r>
        <w:rPr>
          <w:color w:val="000000"/>
          <w:szCs w:val="28"/>
        </w:rPr>
        <w:t xml:space="preserve">субсидий на             2024 год </w:t>
      </w:r>
      <w:r>
        <w:rPr>
          <w:spacing w:val="2"/>
          <w:szCs w:val="28"/>
          <w:lang w:eastAsia="en-US"/>
        </w:rPr>
        <w:t>бюджетам муниципальных районов Республики Татарстан</w:t>
      </w:r>
      <w:r>
        <w:rPr>
          <w:b/>
          <w:color w:val="000000"/>
          <w:szCs w:val="28"/>
        </w:rPr>
        <w:t xml:space="preserve"> </w:t>
      </w:r>
      <w:r>
        <w:rPr>
          <w:color w:val="000000"/>
          <w:szCs w:val="28"/>
        </w:rPr>
        <w:t>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r>
        <w:t xml:space="preserve"> подготовлен в целях реализации в 2024 году мероприятия по оказанию финансовой поддержки при исполнении расходных обязательств муниципальных образований по строительству (приобретению) жилья, предоставленного по договору найма жилого помещения в рамках государственной программы Российской Федерации «Комплексное развитие сельских территорий».</w:t>
      </w:r>
    </w:p>
    <w:p>
      <w:pPr>
        <w:tabs>
          <w:tab w:val="left" w:pos="9585"/>
        </w:tabs>
        <w:ind w:firstLine="709"/>
        <w:jc w:val="both"/>
        <w:rPr>
          <w:bCs/>
          <w:color w:val="000000"/>
        </w:rPr>
      </w:pPr>
      <w:r>
        <w:lastRenderedPageBreak/>
        <w:t xml:space="preserve">В соответствии  с </w:t>
      </w:r>
      <w:r>
        <w:rPr>
          <w:color w:val="000000"/>
          <w:szCs w:val="28"/>
        </w:rPr>
        <w:t>пунктом 14 Порядка формирования и утверждения списков граждан – получателей жилья по договорам найма жилых помещений, утвержденного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r>
        <w:rPr>
          <w:color w:val="000000"/>
        </w:rPr>
        <w:t xml:space="preserve">, </w:t>
      </w:r>
      <w:r>
        <w:t xml:space="preserve">субсидирование строительства (приобретения) жилья, </w:t>
      </w:r>
      <w:r>
        <w:rPr>
          <w:szCs w:val="28"/>
        </w:rPr>
        <w:t>предоставляемого по договору найма жилого помещения</w:t>
      </w:r>
      <w:r>
        <w:t xml:space="preserve"> связано с расчётом размера субсидий, где одним из основных показателей является стоимость квадратного метра общей площади жилья, утверждаемая Кабинетом Министров Республики Татарстан</w:t>
      </w:r>
      <w:r>
        <w:rPr>
          <w:color w:val="000000"/>
        </w:rPr>
        <w:t>.</w:t>
      </w:r>
      <w:r>
        <w:rPr>
          <w:bCs/>
          <w:color w:val="000000"/>
        </w:rPr>
        <w:t xml:space="preserve"> </w:t>
      </w:r>
    </w:p>
    <w:p>
      <w:pPr>
        <w:tabs>
          <w:tab w:val="left" w:pos="9585"/>
        </w:tabs>
        <w:ind w:firstLine="709"/>
        <w:jc w:val="both"/>
        <w:rPr>
          <w:bCs/>
          <w:color w:val="000000"/>
          <w:szCs w:val="28"/>
        </w:rPr>
      </w:pPr>
      <w:r>
        <w:rPr>
          <w:bCs/>
          <w:color w:val="000000"/>
        </w:rPr>
        <w:t xml:space="preserve">В соответствии с представленной в Минсельхоз России заявочной документации на 2024 год и плановый период 2025 и 2026 годов для участия Республики Татарстан в реализации мероприятий федеральных проектов государственной программы Российской Федерации «Комплексное развитие сельских территорий» от 23.05.2023 № 07/2-4258, Минсельхозпрод РТ предлагает утвердить </w:t>
      </w:r>
      <w:r>
        <w:rPr>
          <w:bCs/>
          <w:color w:val="000000"/>
          <w:szCs w:val="28"/>
        </w:rPr>
        <w:t xml:space="preserve">стоимость одного квадратного метра общей площади жилья на сельских территориях в Республике Татарстан на 2024 год в размере 62,0 </w:t>
      </w:r>
      <w:proofErr w:type="spellStart"/>
      <w:r>
        <w:rPr>
          <w:bCs/>
          <w:color w:val="000000"/>
          <w:szCs w:val="28"/>
        </w:rPr>
        <w:t>тыс.руб</w:t>
      </w:r>
      <w:proofErr w:type="spellEnd"/>
      <w:r>
        <w:rPr>
          <w:bCs/>
          <w:color w:val="000000"/>
          <w:szCs w:val="28"/>
        </w:rPr>
        <w:t>.</w:t>
      </w:r>
    </w:p>
    <w:p>
      <w:pPr>
        <w:tabs>
          <w:tab w:val="left" w:pos="9585"/>
        </w:tabs>
        <w:ind w:firstLine="709"/>
        <w:jc w:val="both"/>
        <w:rPr>
          <w:bCs/>
          <w:color w:val="000000"/>
          <w:szCs w:val="28"/>
        </w:rPr>
      </w:pPr>
      <w:r>
        <w:rPr>
          <w:bCs/>
          <w:color w:val="000000"/>
          <w:szCs w:val="28"/>
        </w:rPr>
        <w:t xml:space="preserve">Стоимость одного квадратного метра общей площади жилья на сельских территориях в Республике Татарстан на 2024 год для расчета размера </w:t>
      </w:r>
      <w:proofErr w:type="gramStart"/>
      <w:r>
        <w:rPr>
          <w:bCs/>
          <w:color w:val="000000"/>
          <w:szCs w:val="28"/>
        </w:rPr>
        <w:t xml:space="preserve">субсидий </w:t>
      </w:r>
      <w:r>
        <w:rPr>
          <w:bCs/>
          <w:color w:val="000000"/>
          <w:spacing w:val="2"/>
          <w:szCs w:val="28"/>
          <w:lang w:eastAsia="en-US"/>
        </w:rPr>
        <w:t xml:space="preserve"> бюджетам</w:t>
      </w:r>
      <w:proofErr w:type="gramEnd"/>
      <w:r>
        <w:rPr>
          <w:bCs/>
          <w:color w:val="000000"/>
          <w:spacing w:val="2"/>
          <w:szCs w:val="28"/>
          <w:lang w:eastAsia="en-US"/>
        </w:rPr>
        <w:t xml:space="preserve"> муниципальных районов Республики Татарстан</w:t>
      </w:r>
      <w:r>
        <w:rPr>
          <w:b/>
          <w:bCs/>
          <w:color w:val="000000"/>
          <w:szCs w:val="28"/>
        </w:rPr>
        <w:t xml:space="preserve"> </w:t>
      </w:r>
      <w:r>
        <w:rPr>
          <w:bCs/>
          <w:color w:val="000000"/>
          <w:szCs w:val="28"/>
        </w:rPr>
        <w:t xml:space="preserve">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согласована с </w:t>
      </w:r>
      <w:proofErr w:type="spellStart"/>
      <w:r>
        <w:rPr>
          <w:bCs/>
          <w:color w:val="000000"/>
          <w:szCs w:val="28"/>
        </w:rPr>
        <w:t>Раисом</w:t>
      </w:r>
      <w:proofErr w:type="spellEnd"/>
      <w:r>
        <w:rPr>
          <w:bCs/>
          <w:color w:val="000000"/>
          <w:szCs w:val="28"/>
        </w:rPr>
        <w:t xml:space="preserve"> Республики Татарстан (от 18.07.2023 № 33398 - МР).</w:t>
      </w:r>
    </w:p>
    <w:p>
      <w:pPr>
        <w:tabs>
          <w:tab w:val="left" w:pos="9585"/>
        </w:tabs>
        <w:ind w:firstLine="709"/>
        <w:jc w:val="both"/>
      </w:pPr>
      <w:r>
        <w:rPr>
          <w:bCs/>
          <w:color w:val="000000"/>
          <w:szCs w:val="28"/>
        </w:rPr>
        <w:t xml:space="preserve">Принятие проекта постановления не повлечет за собой выделение дополнительных денежных средств из бюджета Республики Татарстан. </w:t>
      </w:r>
    </w:p>
    <w:p>
      <w:pPr>
        <w:jc w:val="center"/>
      </w:pPr>
    </w:p>
    <w:p/>
    <w:sectPr>
      <w:pgSz w:w="11906" w:h="16838"/>
      <w:pgMar w:top="1134" w:right="8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ABD21D-26EE-4FD9-971E-6D4B363E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4"/>
      <w:lang w:eastAsia="zh-CN"/>
    </w:rPr>
  </w:style>
  <w:style w:type="paragraph" w:styleId="1">
    <w:name w:val="heading 1"/>
    <w:basedOn w:val="a"/>
    <w:next w:val="a"/>
    <w:qFormat/>
    <w:pPr>
      <w:keepNext/>
      <w:numPr>
        <w:numId w:val="1"/>
      </w:numPr>
      <w:jc w:val="both"/>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rPr>
      <w:b/>
      <w:bCs/>
      <w:sz w:val="24"/>
      <w:szCs w:val="24"/>
      <w:lang w:val="x-none"/>
    </w:rPr>
  </w:style>
  <w:style w:type="character" w:customStyle="1" w:styleId="2">
    <w:name w:val="Основной текст с отступом 2 Знак"/>
    <w:rPr>
      <w:sz w:val="28"/>
      <w:szCs w:val="24"/>
    </w:rPr>
  </w:style>
  <w:style w:type="character" w:customStyle="1" w:styleId="ConsPlusNormal">
    <w:name w:val="ConsPlusNormal Знак"/>
    <w:rPr>
      <w:rFonts w:ascii="Arial" w:hAnsi="Arial" w:cs="Arial"/>
      <w:lang w:val="ru-RU" w:bidi="ar-SA"/>
    </w:rPr>
  </w:style>
  <w:style w:type="character" w:styleId="a4">
    <w:name w:val="Hyperlink"/>
    <w:rPr>
      <w:color w:val="0000FF"/>
      <w:u w:val="single"/>
    </w:rPr>
  </w:style>
  <w:style w:type="character" w:customStyle="1" w:styleId="11">
    <w:name w:val="Заголовок 1 Знак"/>
    <w:rPr>
      <w:b/>
      <w:bCs/>
      <w:sz w:val="32"/>
      <w:szCs w:val="24"/>
    </w:rPr>
  </w:style>
  <w:style w:type="character" w:customStyle="1" w:styleId="a5">
    <w:name w:val="Основной текст Знак"/>
    <w:rPr>
      <w:sz w:val="28"/>
      <w:szCs w:val="24"/>
    </w:rPr>
  </w:style>
  <w:style w:type="paragraph" w:customStyle="1" w:styleId="12">
    <w:name w:val="Заголовок1"/>
    <w:basedOn w:val="a"/>
    <w:next w:val="a6"/>
    <w:pPr>
      <w:jc w:val="center"/>
    </w:pPr>
    <w:rPr>
      <w:b/>
      <w:bCs/>
      <w:sz w:val="24"/>
      <w:lang w:val="x-none"/>
    </w:rPr>
  </w:style>
  <w:style w:type="paragraph" w:styleId="a6">
    <w:name w:val="Body Text"/>
    <w:basedOn w:val="a"/>
    <w:pPr>
      <w:jc w:val="both"/>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rPr>
  </w:style>
  <w:style w:type="paragraph" w:customStyle="1" w:styleId="13">
    <w:name w:val="Указатель1"/>
    <w:basedOn w:val="a"/>
    <w:pPr>
      <w:suppressLineNumbers/>
    </w:pPr>
    <w:rPr>
      <w:rFonts w:ascii="PT Astra Serif" w:hAnsi="PT Astra Serif" w:cs="Noto Sans Devanagari"/>
    </w:rPr>
  </w:style>
  <w:style w:type="paragraph" w:styleId="a9">
    <w:name w:val="Balloon Text"/>
    <w:basedOn w:val="a"/>
    <w:rPr>
      <w:rFonts w:ascii="Tahoma" w:hAnsi="Tahoma" w:cs="Tahoma"/>
      <w:sz w:val="16"/>
      <w:szCs w:val="16"/>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21">
    <w:name w:val="Основной текст с отступом 21"/>
    <w:basedOn w:val="a"/>
    <w:pPr>
      <w:spacing w:after="120" w:line="480" w:lineRule="auto"/>
      <w:ind w:left="283"/>
    </w:pPr>
  </w:style>
  <w:style w:type="paragraph" w:customStyle="1" w:styleId="ConsPlusNormal0">
    <w:name w:val="ConsPlusNormal"/>
    <w:pPr>
      <w:widowControl w:val="0"/>
      <w:suppressAutoHyphens/>
      <w:autoSpaceDE w:val="0"/>
      <w:ind w:firstLine="720"/>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nar.Kalimullin@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ARTEM</dc:creator>
  <cp:keywords/>
  <cp:lastModifiedBy>YuristMCX</cp:lastModifiedBy>
  <cp:revision>2</cp:revision>
  <cp:lastPrinted>2023-07-18T13:57:00Z</cp:lastPrinted>
  <dcterms:created xsi:type="dcterms:W3CDTF">2023-08-08T12:05:00Z</dcterms:created>
  <dcterms:modified xsi:type="dcterms:W3CDTF">2023-08-08T12:05:00Z</dcterms:modified>
</cp:coreProperties>
</file>