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от 07.10.2022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5357 «Об утверждении муниципальной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программы «Поддержка социально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ориентированных некоммерческих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организаций города Набережные Челны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на 2023-2025 годы»</w:t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В соответствии с Бюджетным кодексом Российской Федерации, ст.53 Устава города, п.5.24 Положения о системе муниципальных правовых актов, утвержденного Решением Городского Совета от 21.02.2007 №19/8,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709" w:leader="none"/>
        </w:tabs>
        <w:spacing w:lineRule="auto" w:line="276" w:before="0" w:after="0"/>
        <w:ind w:left="0" w:firstLine="36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Внести в постановление Исполнительного комитета от 07.10.2022 № 5357 «Об утверждении муниципальной программы «Поддержка социально ориентированных некоммерческих организаций города Набережные Челны на 2023-2025 годы» следующие изменения: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пункт 2 изложить в следующей редакции: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360" w:hanging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«2. Управлению финансов Исполнительного комитета обеспечить финансирование мероприятий муниципальной программы «Поддержка социально ориентированных некоммерческих организаций города Набережные Челны на 2023-2025 годы» за счет средств бюджета города по разделу (подразделу) 01.13 «Другие общегосударственные вопросы» в размере</w:t>
        <w:softHyphen/>
        <w:t xml:space="preserve">   1059,22 тыс. рублей: 2023 год – 349,55 тыс. рублей, 2024 год – 353,03 тыс. рублей, 2025 год – 356,64 тыс. рублей.»;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2) в муниципальной программе «Поддержка социально ориентированных некоммерческих организаций города Набережные Челны на 2023-2025 годы»                   (далее – программа):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tbl>
      <w:tblPr>
        <w:tblStyle w:val="ae"/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59"/>
        <w:gridCol w:w="2343"/>
        <w:gridCol w:w="1264"/>
        <w:gridCol w:w="1342"/>
        <w:gridCol w:w="1265"/>
        <w:gridCol w:w="1485"/>
      </w:tblGrid>
      <w:tr>
        <w:trPr/>
        <w:tc>
          <w:tcPr>
            <w:tcW w:w="23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Объемы и источники финансирования программы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с разбивкой по годам</w:t>
            </w:r>
          </w:p>
        </w:tc>
        <w:tc>
          <w:tcPr>
            <w:tcW w:w="2343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5356" w:type="dxa"/>
            <w:gridSpan w:val="4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Годы реализации программы</w:t>
            </w:r>
          </w:p>
        </w:tc>
      </w:tr>
      <w:tr>
        <w:trPr>
          <w:trHeight w:val="1354" w:hRule="atLeast"/>
        </w:trPr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 за период реализации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Муниципальный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349,55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353,03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356,64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Прочие источники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349,55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353,03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356,64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105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9,22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главу 5 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«Глава 5. Ресурсное обеспечение программы</w:t>
      </w:r>
    </w:p>
    <w:p>
      <w:pPr>
        <w:pStyle w:val="Normal"/>
        <w:spacing w:lineRule="auto" w:line="276" w:before="0" w:after="0"/>
        <w:ind w:firstLine="49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Объем финансирования программы на 2023-2025 годы составляет 1059,22 тыс. рублей, в том числе по годам реализации программы:</w:t>
      </w:r>
    </w:p>
    <w:p>
      <w:pPr>
        <w:pStyle w:val="Normal"/>
        <w:spacing w:lineRule="auto" w:line="276" w:before="0" w:after="0"/>
        <w:ind w:firstLine="49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2023 год – 349,55 тыс. рублей, 2024 год – 353,03 тыс. рублей, 2025 год – 356,64 тыс. рублей.</w:t>
      </w:r>
    </w:p>
    <w:p>
      <w:pPr>
        <w:pStyle w:val="Normal"/>
        <w:spacing w:lineRule="auto" w:line="276" w:before="0" w:after="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Источником финансирования программы является бюджет муниципального образования город Набережные Челны.»</w:t>
      </w:r>
    </w:p>
    <w:p>
      <w:pPr>
        <w:pStyle w:val="Normal"/>
        <w:spacing w:lineRule="auto" w:line="276" w:before="0" w:after="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приложение к программе изложить в новой редакции согласно приложению.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567" w:leader="none"/>
        </w:tabs>
        <w:spacing w:lineRule="auto" w:line="276" w:before="0" w:after="0"/>
        <w:ind w:left="0" w:firstLine="284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http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tt-RU" w:eastAsia="ru-RU"/>
          </w:rPr>
          <w:t>://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pravo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tatarstan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tt-RU" w:eastAsia="ru-RU"/>
        </w:rPr>
        <w:t xml:space="preserve">, на официальном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сайте города Набережные Челны в сети «Интернет».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76" w:before="0" w:after="0"/>
        <w:ind w:left="0" w:firstLine="36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Руководитель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                                                           Ф.Ш.Салахов</w:t>
      </w:r>
    </w:p>
    <w:p>
      <w:pPr>
        <w:pStyle w:val="Normal"/>
        <w:spacing w:lineRule="auto" w:line="240" w:before="0" w:after="0"/>
        <w:ind w:left="6096" w:hanging="28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567" w:right="851" w:gutter="0" w:header="0" w:top="1134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Прокуратура</w:t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10773" w:hanging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постановлению 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Исполнительного комитета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«___»_____2024 №______ 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муниципальной программе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«Поддержка социально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ориентированных некоммерческих организаций в городе Набережные Челны на 2023-2025 годы»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75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62"/>
        <w:gridCol w:w="2977"/>
        <w:gridCol w:w="2840"/>
        <w:gridCol w:w="1417"/>
        <w:gridCol w:w="1560"/>
        <w:gridCol w:w="1280"/>
        <w:gridCol w:w="709"/>
        <w:gridCol w:w="707"/>
        <w:gridCol w:w="709"/>
        <w:gridCol w:w="989"/>
        <w:gridCol w:w="991"/>
        <w:gridCol w:w="997"/>
        <w:gridCol w:w="1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</w:tr>
      <w:tr>
        <w:trPr>
          <w:trHeight w:val="614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цели: 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</w:tr>
      <w:tr>
        <w:trPr>
          <w:trHeight w:val="1022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76" w:before="0" w:after="0"/>
              <w:ind w:left="0" w:firstLine="709"/>
              <w:contextualSpacing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Наименование задачи: 1. 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eastAsia="ru-RU"/>
              </w:rPr>
              <w:t>Развитие механизмов оказания имущественной, финансовой, информационной и консультативной поддержки социально ориентированным некоммерческим организациям.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организаций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99,55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103,03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106,64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Ведение реестра СОНКО, получателей государственной поддержки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задачи: 2. Популяризация деятельности социально ориентированных некоммерческих организаций в средствах массовой информации</w:t>
            </w:r>
          </w:p>
        </w:tc>
      </w:tr>
      <w:tr>
        <w:trPr>
          <w:trHeight w:val="103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Размещение информации о деятельности СОНКО на официальном сайте города Набережные Челны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Организация и проведение совместных рабочих встреч СОНКО с представителями Исполнительного комитета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Проведение конкурса «Лучшая социально ориентированная некоммерческая организация города Набережные Челны»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задачи: 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задачи: 4. 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оказанных услуг</w:t>
              <w:tab/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информационно-консультационной поддержки СОНКО при оказании социально-психологических услуг для созависимых граждан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 по программе:</w:t>
            </w:r>
          </w:p>
        </w:tc>
        <w:tc>
          <w:tcPr>
            <w:tcW w:w="2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349,55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353,03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356,64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textAlignment w:val="baseline"/>
        <w:outlineLvl w:val="1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pacing w:val="2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Заместитель Руководителя Аппарата,</w:t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начальник управления делопроизводством</w:t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Исполнительного комитета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567" w:right="1134" w:gutter="0" w:header="0" w:top="56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2ef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ae60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1"/>
    <w:uiPriority w:val="9"/>
    <w:qFormat/>
    <w:rsid w:val="00ae60f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1"/>
    <w:uiPriority w:val="9"/>
    <w:qFormat/>
    <w:rsid w:val="00ae60f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1"/>
    <w:uiPriority w:val="9"/>
    <w:qFormat/>
    <w:rsid w:val="00ae60ff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Normal"/>
    <w:link w:val="51"/>
    <w:uiPriority w:val="9"/>
    <w:qFormat/>
    <w:rsid w:val="00ae60ff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1" w:customStyle="1">
    <w:name w:val="Заголовок 5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ae60ff"/>
    <w:rPr>
      <w:color w:val="0000FF"/>
      <w:u w:val="single"/>
    </w:rPr>
  </w:style>
  <w:style w:type="character" w:styleId="Style9">
    <w:name w:val="FollowedHyperlink"/>
    <w:basedOn w:val="DefaultParagraphFont"/>
    <w:uiPriority w:val="99"/>
    <w:semiHidden/>
    <w:unhideWhenUsed/>
    <w:rsid w:val="00ae60ff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e60ff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db2fc2"/>
    <w:rPr>
      <w:rFonts w:ascii="Calibri" w:hAnsi="Calibr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437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194375"/>
    <w:rPr>
      <w:sz w:val="20"/>
      <w:szCs w:val="20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194375"/>
    <w:rPr>
      <w:b/>
      <w:bCs/>
      <w:sz w:val="20"/>
      <w:szCs w:val="20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d42e7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d42e7b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formattext"/>
    <w:basedOn w:val="Normal"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1">
    <w:name w:val="headertext"/>
    <w:basedOn w:val="Normal"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b2fc2"/>
    <w:pPr>
      <w:spacing w:lineRule="auto" w:line="240" w:before="0" w:after="0"/>
    </w:pPr>
    <w:rPr>
      <w:rFonts w:ascii="Calibri" w:hAnsi="Calibri"/>
      <w:sz w:val="18"/>
      <w:szCs w:val="18"/>
    </w:rPr>
  </w:style>
  <w:style w:type="paragraph" w:styleId="ConsPlusNormal" w:customStyle="1">
    <w:name w:val="ConsPlusNormal"/>
    <w:qFormat/>
    <w:rsid w:val="00954bbd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28147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19437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194375"/>
    <w:pPr/>
    <w:rPr>
      <w:b/>
      <w:bCs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3"/>
    <w:uiPriority w:val="99"/>
    <w:unhideWhenUsed/>
    <w:rsid w:val="00d4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Style14"/>
    <w:uiPriority w:val="99"/>
    <w:unhideWhenUsed/>
    <w:rsid w:val="00d4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dc56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C12C-DED9-4C1E-80EC-055AC962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LibreOffice/7.5.6.2$Linux_X86_64 LibreOffice_project/50$Build-2</Application>
  <AppVersion>15.0000</AppVersion>
  <Pages>7</Pages>
  <Words>883</Words>
  <Characters>6459</Characters>
  <CharactersWithSpaces>7347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2024-02-09T08:01:00Z</dcterms:created>
  <dc:creator>Виктория Иванова</dc:creator>
  <dc:description/>
  <dc:language>ru-RU</dc:language>
  <cp:lastModifiedBy>Султанова Гульназ Марселевна</cp:lastModifiedBy>
  <cp:lastPrinted>2022-08-15T05:41:00Z</cp:lastPrinted>
  <dcterms:modified xsi:type="dcterms:W3CDTF">2024-02-16T13:15:00Z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