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tabs>
          <w:tab w:val="clear" w:pos="708"/>
          <w:tab w:val="left" w:pos="4095" w:leader="none"/>
        </w:tabs>
        <w:ind w:left="0" w:right="-1" w:hanging="0"/>
        <w:jc w:val="right"/>
        <w:rPr>
          <w:spacing w:val="-2"/>
          <w:sz w:val="28"/>
        </w:rPr>
      </w:pPr>
      <w:r>
        <w:rPr>
          <w:spacing w:val="-2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b/>
          <w:sz w:val="28"/>
        </w:rPr>
        <w:t xml:space="preserve">                                    </w:t>
      </w:r>
    </w:p>
    <w:p>
      <w:pPr>
        <w:pStyle w:val="Normal"/>
        <w:ind w:left="0" w:right="4111" w:hanging="0"/>
        <w:jc w:val="both"/>
        <w:rPr>
          <w:color w:val="000000"/>
          <w:sz w:val="28"/>
        </w:rPr>
      </w:pPr>
      <w:r>
        <w:rPr>
          <w:sz w:val="28"/>
        </w:rPr>
        <w:t xml:space="preserve">О внесении изменений в Постановление </w:t>
      </w:r>
      <w:r>
        <w:rPr>
          <w:color w:val="000000"/>
          <w:sz w:val="28"/>
        </w:rPr>
        <w:t>Исполнительного комитета от 28.10.2021 № 7114 «Об утверждении муниципальной программы «Совершенствование системы гражданской обороны, защиты населения и территории муниципального образования «город Набережные Челны» от чрезвычайных ситуаций и обеспечение безопасности на водных объектах на 2022–2024 годы»</w:t>
      </w:r>
    </w:p>
    <w:p>
      <w:pPr>
        <w:pStyle w:val="Normal"/>
        <w:shd w:val="clear" w:fill="FFFFFF"/>
        <w:ind w:left="10" w:right="-1" w:firstLine="55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hd w:val="clear" w:fill="FFFFFF"/>
        <w:ind w:left="10" w:right="-1" w:firstLine="55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hd w:val="clear" w:fill="FFFFFF"/>
        <w:ind w:left="10" w:right="-1" w:firstLine="5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Бюджетным кодексом Российской Федерации, статьей 41 Устава города, пунктом 5.24 </w:t>
      </w:r>
      <w:r>
        <w:rPr>
          <w:sz w:val="28"/>
        </w:rPr>
        <w:t xml:space="preserve">Положения о системе муниципальных правовых актов, утвержденного решением Городского Совета от 21.02.2007 № 19/8, </w:t>
      </w:r>
      <w:r>
        <w:rPr>
          <w:color w:val="000000"/>
          <w:sz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left="0" w:right="-14" w:hanging="0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left="0" w:right="-14" w:hanging="0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left="0" w:right="-14" w:hanging="0"/>
        <w:jc w:val="center"/>
        <w:rPr>
          <w:color w:val="000000"/>
          <w:sz w:val="28"/>
        </w:rPr>
      </w:pPr>
      <w:r>
        <w:rPr>
          <w:color w:val="000000"/>
          <w:sz w:val="28"/>
        </w:rPr>
        <w:t>П О С Т А Н О В Л Я Ю:</w:t>
      </w:r>
    </w:p>
    <w:p>
      <w:pPr>
        <w:pStyle w:val="Style26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numPr>
          <w:ilvl w:val="0"/>
          <w:numId w:val="2"/>
        </w:numPr>
        <w:ind w:left="0" w:right="-2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Внести в Постановление Исполнительного комитета от 28.10.2021 № 7114 «Об утверждении муниципальной программы «Совершенствование системы гражданской обороны, защиты населения и территории муниципального образования «город Набережные Челны» от чрезвычайных ситуаций и обеспечение безопасности на водных объектах на 2022–2024 годы» (в редакции постановлений Исполнительного комитета от 12.05.2022 № 2393, от 09.08.2022 № 4008, от 24.03.2023 № 2088) следующие изменения:</w:t>
      </w:r>
    </w:p>
    <w:p>
      <w:pPr>
        <w:pStyle w:val="Normal"/>
        <w:ind w:left="0" w:right="-2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1) пункт 2 изложить в следующей редакции:</w:t>
      </w:r>
    </w:p>
    <w:p>
      <w:pPr>
        <w:pStyle w:val="Normal"/>
        <w:shd w:val="clear" w:fill="FFFFFF"/>
        <w:ind w:left="0" w:right="-1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«2. 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03.10 «Защита населения и территории от чрезвычайных ситуаций природного и техногенного характера, пожарная безопасность», 04.06 «Водное хозяйство», в 2022 году – 2 169,9 тыс. рублей, в 2023 году – 2 505,5 тыс. рублей, в 2024 году – 3 039,3</w:t>
      </w:r>
      <w:r>
        <w:rPr>
          <w:rFonts w:eastAsia="Calibri"/>
          <w:color w:val="000000"/>
          <w:sz w:val="28"/>
          <w:lang w:eastAsia="en-US"/>
        </w:rPr>
        <w:t xml:space="preserve"> </w:t>
      </w:r>
      <w:r>
        <w:rPr>
          <w:color w:val="000000"/>
          <w:sz w:val="28"/>
        </w:rPr>
        <w:t>тыс. рублей.»;</w:t>
      </w:r>
    </w:p>
    <w:p>
      <w:pPr>
        <w:pStyle w:val="Normal"/>
        <w:ind w:left="0" w:right="0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2) в муниципальной программе «Совершенствование системы гражданской обороны, защиты населения и территории муниципального образования «город Набережные Челны» от чрезвычайных ситуаций и обеспечение безопасности на водных объектах на 2022–2024 годы»:</w:t>
      </w:r>
    </w:p>
    <w:p>
      <w:pPr>
        <w:pStyle w:val="Normal"/>
        <w:ind w:left="0" w:right="-1"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t>- в главе 1 строку «Объёмы и источники финансирования программы с разбивкой по годам» изложить в следующей редакции:</w:t>
      </w:r>
    </w:p>
    <w:p>
      <w:pPr>
        <w:pStyle w:val="Style29"/>
        <w:widowControl/>
        <w:spacing w:lineRule="exact" w:line="240"/>
        <w:ind w:left="0" w:right="0" w:firstLine="4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tbl>
      <w:tblPr>
        <w:tblW w:w="1009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628"/>
        <w:gridCol w:w="1087"/>
        <w:gridCol w:w="1147"/>
        <w:gridCol w:w="7"/>
        <w:gridCol w:w="1343"/>
        <w:gridCol w:w="1557"/>
      </w:tblGrid>
      <w:tr>
        <w:trPr>
          <w:trHeight w:val="225" w:hRule="atLeast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«Объемы и источники финансирования программы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 разбивкой по годам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Источник финансирования</w:t>
            </w:r>
          </w:p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</w:r>
          </w:p>
        </w:tc>
        <w:tc>
          <w:tcPr>
            <w:tcW w:w="5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Годы реализации программы, тыс.руб.</w:t>
            </w:r>
          </w:p>
        </w:tc>
      </w:tr>
      <w:tr>
        <w:trPr>
          <w:trHeight w:val="585" w:hRule="atLeast"/>
        </w:trPr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</w:r>
          </w:p>
        </w:tc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Всего за период реализации</w:t>
            </w:r>
          </w:p>
        </w:tc>
      </w:tr>
      <w:tr>
        <w:trPr>
          <w:trHeight w:val="484" w:hRule="atLeast"/>
        </w:trPr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Муниципальный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2 169,9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2 505,5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3 039,3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7 714,7</w:t>
            </w:r>
          </w:p>
        </w:tc>
      </w:tr>
      <w:tr>
        <w:trPr>
          <w:trHeight w:val="195" w:hRule="atLeast"/>
        </w:trPr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Республиканский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Прочие источники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Всего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2 169,9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2 505,5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3 039,3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7 714,</w:t>
            </w:r>
            <w:r>
              <w:rPr>
                <w:color w:val="000000"/>
                <w:spacing w:val="-2"/>
                <w:sz w:val="26"/>
                <w:szCs w:val="26"/>
                <w:shd w:fill="auto" w:val="clear"/>
              </w:rPr>
              <w:t>7</w:t>
            </w:r>
            <w:r>
              <w:rPr>
                <w:color w:val="000000"/>
                <w:spacing w:val="-2"/>
                <w:sz w:val="26"/>
                <w:szCs w:val="26"/>
                <w:shd w:fill="auto" w:val="clear"/>
              </w:rPr>
              <w:t>»;</w:t>
            </w:r>
          </w:p>
        </w:tc>
      </w:tr>
    </w:tbl>
    <w:p>
      <w:pPr>
        <w:pStyle w:val="Style29"/>
        <w:widowControl/>
        <w:spacing w:lineRule="exact" w:line="24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left="0" w:right="0" w:firstLine="567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- в главе 3 таблицу «Цели, задачи, индикаторы оценки результатов программы и финансирование по мероприятиям» изложить в новой редакции согласно приложению.</w:t>
      </w:r>
    </w:p>
    <w:p>
      <w:pPr>
        <w:pStyle w:val="Normal"/>
        <w:ind w:left="0" w:right="0" w:firstLine="567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  <w:shd w:fill="auto" w:val="clear"/>
        </w:rPr>
        <w:t>абзац первый</w:t>
      </w:r>
      <w:r>
        <w:rPr>
          <w:color w:val="000000"/>
          <w:sz w:val="28"/>
        </w:rPr>
        <w:t xml:space="preserve"> главы 6 изложить в следующей редакции:</w:t>
      </w:r>
    </w:p>
    <w:p>
      <w:pPr>
        <w:pStyle w:val="Normal"/>
        <w:ind w:left="0" w:right="0" w:firstLine="567"/>
        <w:rPr>
          <w:color w:val="000000"/>
          <w:sz w:val="28"/>
        </w:rPr>
      </w:pPr>
      <w:r>
        <w:rPr>
          <w:color w:val="000000"/>
          <w:sz w:val="28"/>
        </w:rPr>
        <w:t xml:space="preserve">«Ресурсное обеспечение программы составляют средства бюджета города в </w:t>
      </w:r>
      <w:r>
        <w:rPr>
          <w:color w:val="000000"/>
          <w:sz w:val="28"/>
          <w:szCs w:val="28"/>
        </w:rPr>
        <w:t>размере 7 714,7</w:t>
      </w:r>
      <w:r>
        <w:rPr>
          <w:color w:val="000000"/>
          <w:sz w:val="28"/>
        </w:rPr>
        <w:t xml:space="preserve"> тыс. руб., в том числе:</w:t>
      </w:r>
    </w:p>
    <w:p>
      <w:pPr>
        <w:pStyle w:val="Normal"/>
        <w:ind w:left="0" w:right="0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2022 год – 2 169,9 тыс. руб.;</w:t>
      </w:r>
    </w:p>
    <w:p>
      <w:pPr>
        <w:pStyle w:val="Normal"/>
        <w:ind w:left="0" w:right="0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2023 год – 2 505,5 тыс. руб.;</w:t>
      </w:r>
    </w:p>
    <w:p>
      <w:pPr>
        <w:pStyle w:val="Normal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2024 год – 3 039,3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тыс. руб.»</w:t>
      </w:r>
    </w:p>
    <w:p>
      <w:pPr>
        <w:pStyle w:val="Normal"/>
        <w:shd w:val="clear" w:fill="FFFFFF"/>
        <w:ind w:left="0" w:right="-1" w:firstLine="567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color w:val="000000"/>
          <w:spacing w:val="2"/>
          <w:sz w:val="28"/>
          <w:szCs w:val="28"/>
          <w:lang w:val="en-US"/>
        </w:rPr>
        <w:t>prаvo</w:t>
      </w:r>
      <w:r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  <w:lang w:val="en-US"/>
        </w:rPr>
        <w:t>tatarstan</w:t>
      </w:r>
      <w:r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  <w:lang w:val="en-US"/>
        </w:rPr>
        <w:t>ru</w:t>
      </w:r>
      <w:r>
        <w:rPr>
          <w:color w:val="000000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color w:val="000000"/>
          <w:sz w:val="28"/>
        </w:rPr>
        <w:t>3. 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7"/>
        <w:numPr>
          <w:ilvl w:val="6"/>
          <w:numId w:val="1"/>
        </w:numPr>
        <w:spacing w:before="0" w:after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/>
          <w:color w:val="000000"/>
          <w:spacing w:val="2"/>
          <w:sz w:val="28"/>
          <w:szCs w:val="28"/>
        </w:rPr>
      </w:r>
    </w:p>
    <w:p>
      <w:pPr>
        <w:pStyle w:val="Normal"/>
        <w:spacing w:before="0" w:after="0"/>
        <w:rPr>
          <w:rFonts w:cs="Times New Roman"/>
          <w:color w:val="000000"/>
          <w:spacing w:val="2"/>
          <w:sz w:val="28"/>
          <w:szCs w:val="28"/>
        </w:rPr>
      </w:pPr>
      <w:r>
        <w:rPr>
          <w:rFonts w:cs="Times New Roman"/>
          <w:color w:val="000000"/>
          <w:spacing w:val="2"/>
          <w:sz w:val="28"/>
          <w:szCs w:val="28"/>
        </w:rPr>
      </w:r>
    </w:p>
    <w:p>
      <w:pPr>
        <w:pStyle w:val="7"/>
        <w:numPr>
          <w:ilvl w:val="6"/>
          <w:numId w:val="1"/>
        </w:numPr>
        <w:spacing w:before="0" w:after="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 xml:space="preserve">Руководитель </w:t>
      </w:r>
    </w:p>
    <w:p>
      <w:pPr>
        <w:sectPr>
          <w:type w:val="nextPage"/>
          <w:pgSz w:w="11906" w:h="16838"/>
          <w:pgMar w:left="1134" w:right="567" w:gutter="0" w:header="0" w:top="1134" w:footer="0" w:bottom="1077"/>
          <w:pgNumType w:fmt="decimal"/>
          <w:formProt w:val="false"/>
          <w:textDirection w:val="lrTb"/>
          <w:docGrid w:type="default" w:linePitch="360" w:charSpace="0"/>
        </w:sectPr>
        <w:pStyle w:val="7"/>
        <w:numPr>
          <w:ilvl w:val="6"/>
          <w:numId w:val="1"/>
        </w:numPr>
        <w:spacing w:before="0" w:after="0"/>
        <w:rPr>
          <w:rFonts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Исполнительного комитета                                                                    Ф.Ш. Салахов</w:t>
      </w:r>
    </w:p>
    <w:p>
      <w:pPr>
        <w:pStyle w:val="Normal"/>
        <w:ind w:left="0" w:right="0" w:firstLine="104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>
      <w:pPr>
        <w:pStyle w:val="Normal"/>
        <w:ind w:left="0" w:right="0" w:firstLine="104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>
      <w:pPr>
        <w:pStyle w:val="Normal"/>
        <w:ind w:left="0" w:right="0" w:firstLine="104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 комитета</w:t>
      </w:r>
    </w:p>
    <w:p>
      <w:pPr>
        <w:pStyle w:val="Normal"/>
        <w:ind w:left="0" w:right="0" w:firstLine="10490"/>
        <w:rPr/>
      </w:pPr>
      <w:r>
        <w:rPr>
          <w:color w:val="000000"/>
          <w:sz w:val="28"/>
          <w:szCs w:val="28"/>
        </w:rPr>
        <w:t>от «</w:t>
      </w:r>
      <w:r>
        <w:rPr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  <w:u w:val="single"/>
        </w:rPr>
        <w:t xml:space="preserve">             </w:t>
      </w:r>
      <w:r>
        <w:rPr>
          <w:color w:val="000000"/>
          <w:sz w:val="28"/>
          <w:szCs w:val="28"/>
        </w:rPr>
        <w:t xml:space="preserve"> 2024 № ____</w:t>
      </w:r>
    </w:p>
    <w:p>
      <w:pPr>
        <w:pStyle w:val="Normal"/>
        <w:ind w:left="0" w:right="0" w:firstLine="10490"/>
        <w:rPr/>
      </w:pPr>
      <w:r>
        <w:rPr/>
      </w:r>
    </w:p>
    <w:p>
      <w:pPr>
        <w:pStyle w:val="Normal"/>
        <w:ind w:left="0" w:right="0" w:firstLine="567"/>
        <w:jc w:val="center"/>
        <w:rPr>
          <w:rFonts w:ascii="Tinos" w:hAnsi="Tinos" w:cs="Tinos"/>
          <w:sz w:val="22"/>
          <w:szCs w:val="22"/>
        </w:rPr>
      </w:pPr>
      <w:r>
        <w:rPr>
          <w:color w:val="000000"/>
          <w:sz w:val="28"/>
          <w:szCs w:val="28"/>
        </w:rPr>
        <w:t>Цели, задачи, индикаторы оценки результатов программы и финансирование по мероприятиям</w:t>
      </w:r>
    </w:p>
    <w:tbl>
      <w:tblPr>
        <w:tblW w:w="15992" w:type="dxa"/>
        <w:jc w:val="left"/>
        <w:tblInd w:w="-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230"/>
        <w:gridCol w:w="1823"/>
        <w:gridCol w:w="1361"/>
        <w:gridCol w:w="2413"/>
        <w:gridCol w:w="853"/>
        <w:gridCol w:w="761"/>
        <w:gridCol w:w="796"/>
        <w:gridCol w:w="901"/>
        <w:gridCol w:w="945"/>
        <w:gridCol w:w="982"/>
        <w:gridCol w:w="1141"/>
      </w:tblGrid>
      <w:tr>
        <w:trPr>
          <w:trHeight w:val="901" w:hRule="atLeast"/>
        </w:trPr>
        <w:tc>
          <w:tcPr>
            <w:tcW w:w="4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основных мероприятий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cs="Tinos" w:ascii="Tinos" w:hAnsi="Tinos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cs="Tinos" w:ascii="Tinos" w:hAnsi="Tinos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cs="Tinos" w:ascii="Tinos" w:hAnsi="Tinos"/>
                <w:sz w:val="20"/>
                <w:szCs w:val="20"/>
              </w:rPr>
              <w:t>Исполнители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cs="Tinos" w:ascii="Tinos" w:hAnsi="Tinos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cs="Tinos" w:ascii="Tinos" w:hAnsi="Tinos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Значения индикаторов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Финансирование с указанием источника финансирования (тыс.руб.)</w:t>
            </w:r>
          </w:p>
        </w:tc>
      </w:tr>
      <w:tr>
        <w:trPr>
          <w:trHeight w:val="928" w:hRule="atLeast"/>
        </w:trPr>
        <w:tc>
          <w:tcPr>
            <w:tcW w:w="40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</w:r>
          </w:p>
        </w:tc>
        <w:tc>
          <w:tcPr>
            <w:tcW w:w="2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18"/>
                <w:szCs w:val="18"/>
              </w:rPr>
            </w:pPr>
            <w:r>
              <w:rPr>
                <w:rFonts w:cs="Tinos" w:ascii="Tinos" w:hAnsi="Tinos"/>
                <w:sz w:val="22"/>
                <w:szCs w:val="22"/>
              </w:rPr>
              <w:t>2021 год</w:t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18"/>
                <w:szCs w:val="18"/>
              </w:rPr>
            </w:pPr>
            <w:r>
              <w:rPr>
                <w:rFonts w:cs="Tinos" w:ascii="Tinos" w:hAnsi="Tinos"/>
                <w:sz w:val="18"/>
                <w:szCs w:val="18"/>
              </w:rPr>
              <w:t>(базовый)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год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год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cs="Tinos" w:ascii="Tinos" w:hAnsi="Tinos"/>
                <w:sz w:val="22"/>
                <w:szCs w:val="22"/>
              </w:rPr>
              <w:t>год</w:t>
            </w:r>
          </w:p>
        </w:tc>
      </w:tr>
      <w:tr>
        <w:trPr>
          <w:trHeight w:val="479" w:hRule="atLeast"/>
        </w:trPr>
        <w:tc>
          <w:tcPr>
            <w:tcW w:w="159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Цель: повышение защищенности населения, территорий и объектов инфраструктуры города Набережные Челны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      </w:r>
          </w:p>
        </w:tc>
      </w:tr>
      <w:tr>
        <w:trPr>
          <w:trHeight w:val="238" w:hRule="atLeast"/>
        </w:trPr>
        <w:tc>
          <w:tcPr>
            <w:tcW w:w="159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479" w:hRule="atLeast"/>
        </w:trPr>
        <w:tc>
          <w:tcPr>
            <w:tcW w:w="7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чрезвычайных ситуаций природного и техногенного характера с гибелью людей, ед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245" w:hRule="atLeast"/>
        </w:trPr>
        <w:tc>
          <w:tcPr>
            <w:tcW w:w="159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Задача: организация и осуществление мероприятий по гражданской обороне, защите населения и территорий городского округа от чрезвычайных ситуаций природного и техногенного характера</w:t>
            </w:r>
          </w:p>
        </w:tc>
      </w:tr>
      <w:tr>
        <w:trPr>
          <w:trHeight w:val="245" w:hRule="atLeast"/>
        </w:trPr>
        <w:tc>
          <w:tcPr>
            <w:tcW w:w="12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бюджет</w:t>
            </w:r>
          </w:p>
        </w:tc>
      </w:tr>
      <w:tr>
        <w:trPr>
          <w:trHeight w:val="479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лучшее защитное сооружение гражданской обороны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 –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278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лучшую учебно-материальную базу по гражданской обороне и чрезвычайным ситуациям объектов экономики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Разработка плана основных мероприятий города Набережные Челны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декабрь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разработанного документа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лучший учебно-консультационный пункт по гражданской обороне, созданный при управляющих компаниях города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организаций,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мероприятия по повышению эксплуатационной надежности гидротехнический сооружений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Управление городского хозяйства и жизнеобеспечения населения </w:t>
            </w:r>
            <w:r>
              <w:rPr>
                <w:spacing w:val="-2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уровень безаварийной эксплуатации гидротехнических сооружений, 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490,5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103,2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238,8</w:t>
            </w:r>
          </w:p>
        </w:tc>
      </w:tr>
      <w:tr>
        <w:trPr>
          <w:trHeight w:val="1253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right="-1" w:hanging="360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контроля оснащенности образовательных организаций индивидуальными средствами защиты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439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right="-1" w:hanging="36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контроля оснащенности дошкольных общеобразовательных организаций индивидуальными средствами защиты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791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right="-1" w:hanging="36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Подведение итогов выполнения задач в области гражданской обороны и защиты населения и территорий от чрезвычайных ситуаций природного и техногенного характера за отчетный год</w:t>
            </w:r>
          </w:p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количество мероприятий, ед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10,0</w:t>
            </w:r>
          </w:p>
        </w:tc>
      </w:tr>
      <w:tr>
        <w:trPr>
          <w:trHeight w:val="171" w:hRule="atLeast"/>
        </w:trPr>
        <w:tc>
          <w:tcPr>
            <w:tcW w:w="159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Задача: организация работы по снижению количества людей, погибших на водных объектах</w:t>
            </w:r>
          </w:p>
        </w:tc>
      </w:tr>
      <w:tr>
        <w:trPr>
          <w:trHeight w:val="479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в образовательных организациях классных часов</w:t>
            </w:r>
          </w:p>
          <w:p>
            <w:pPr>
              <w:pStyle w:val="Normal"/>
              <w:widowControl w:val="false"/>
              <w:ind w:left="0" w:right="-1" w:hanging="0"/>
              <w:rPr/>
            </w:pPr>
            <w:hyperlink r:id="rId2" w:tgtFrame="_blank">
              <w:r>
                <w:rPr>
                  <w:rStyle w:val="-"/>
                  <w:iCs/>
                  <w:color w:val="000000"/>
                  <w:sz w:val="20"/>
                  <w:szCs w:val="20"/>
                  <w:u w:val="none"/>
                </w:rPr>
                <w:t>«Безопасность на воде»</w:t>
              </w:r>
            </w:hyperlink>
          </w:p>
          <w:p>
            <w:pPr>
              <w:pStyle w:val="Normal"/>
              <w:widowControl w:val="false"/>
              <w:ind w:left="0" w:right="-1" w:hanging="0"/>
              <w:rPr/>
            </w:pPr>
            <w:r>
              <w:rPr/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охваченных детей,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68150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68155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68160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мероприятий по предупреждению и ликвидации чрезвычайных ситуаций в период весеннего половодья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апрель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обучения спасателей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Создание, оснащение и организация работы</w:t>
            </w:r>
          </w:p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общественных спасательных постов в организованных местах</w:t>
            </w:r>
          </w:p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массового отдыха населения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Управление городского хозяйства и жизнеобеспечения населения </w:t>
            </w:r>
            <w:r>
              <w:rPr>
                <w:spacing w:val="-2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Создание и содержание общественных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спасательных постов, пляжей и оснащение необходимым оборудованием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1 669,4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-78" w:right="-250" w:hanging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2 392,3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2 790,5</w:t>
            </w:r>
          </w:p>
        </w:tc>
      </w:tr>
      <w:tr>
        <w:trPr>
          <w:trHeight w:val="2454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>
              <w:rPr>
                <w:iCs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проведения расширенного заседания с владельцами и арендаторами пляжей (водопользователями) и комиссией по чрезвычайным ситуациям и пожарной безопасности на тему: «О готовности мест купания и массового отдыха населения в летний период»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12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2 169,9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2 505,5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-1" w:hanging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3 039,3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Заместитель Руководителя Аппарата,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начальника управления делопроизводством </w:t>
      </w:r>
    </w:p>
    <w:p>
      <w:pPr>
        <w:pStyle w:val="Normal"/>
        <w:rPr/>
      </w:pPr>
      <w:r>
        <w:rPr>
          <w:sz w:val="26"/>
          <w:szCs w:val="26"/>
        </w:rPr>
        <w:t>Исполнительного комитета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077" w:right="1134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Sylfaen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98" w:hanging="39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16"/>
      <w:szCs w:val="20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Times New Roman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7z0">
    <w:name w:val="WW8Num27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Times New Roman" w:hAnsi="Times New Roman" w:eastAsia="Times New Roman" w:cs="Times New Roman"/>
      <w:b/>
      <w:color w:val="000000"/>
    </w:rPr>
  </w:style>
  <w:style w:type="character" w:styleId="WW8Num39z0">
    <w:name w:val="WW8Num39z0"/>
    <w:qFormat/>
    <w:rPr/>
  </w:style>
  <w:style w:type="character" w:styleId="WW8NumSt30z0">
    <w:name w:val="WW8NumSt30z0"/>
    <w:qFormat/>
    <w:rPr>
      <w:rFonts w:ascii="Times New Roman" w:hAnsi="Times New Roman" w:cs="Times New Roman"/>
    </w:rPr>
  </w:style>
  <w:style w:type="character" w:styleId="WW8NumSt31z0">
    <w:name w:val="WW8NumSt31z0"/>
    <w:qFormat/>
    <w:rPr>
      <w:rFonts w:ascii="Times New Roman" w:hAnsi="Times New Roman" w:cs="Times New Roman"/>
    </w:rPr>
  </w:style>
  <w:style w:type="character" w:styleId="WW8NumSt32z0">
    <w:name w:val="WW8NumSt32z0"/>
    <w:qFormat/>
    <w:rPr>
      <w:rFonts w:ascii="Times New Roman" w:hAnsi="Times New Roman" w:cs="Times New Roman"/>
    </w:rPr>
  </w:style>
  <w:style w:type="character" w:styleId="WW8NumSt40z0">
    <w:name w:val="WW8NumSt40z0"/>
    <w:qFormat/>
    <w:rPr>
      <w:rFonts w:ascii="Times New Roman" w:hAnsi="Times New Roman" w:cs="Times New Roman"/>
    </w:rPr>
  </w:style>
  <w:style w:type="character" w:styleId="WW8NumSt41z0">
    <w:name w:val="WW8NumSt41z0"/>
    <w:qFormat/>
    <w:rPr>
      <w:rFonts w:ascii="Times New Roman" w:hAnsi="Times New Roman" w:cs="Times New Roman"/>
    </w:rPr>
  </w:style>
  <w:style w:type="character" w:styleId="WW8NumSt42z0">
    <w:name w:val="WW8NumSt42z0"/>
    <w:qFormat/>
    <w:rPr>
      <w:rFonts w:ascii="Times New Roman" w:hAnsi="Times New Roman" w:cs="Times New Roman"/>
    </w:rPr>
  </w:style>
  <w:style w:type="character" w:styleId="WW8NumSt43z0">
    <w:name w:val="WW8NumSt43z0"/>
    <w:qFormat/>
    <w:rPr>
      <w:rFonts w:ascii="Times New Roman" w:hAnsi="Times New Roman" w:cs="Times New Roman"/>
    </w:rPr>
  </w:style>
  <w:style w:type="character" w:styleId="WW8NumSt44z0">
    <w:name w:val="WW8NumSt44z0"/>
    <w:qFormat/>
    <w:rPr>
      <w:rFonts w:ascii="Times New Roman" w:hAnsi="Times New Roman" w:cs="Times New Roman"/>
    </w:rPr>
  </w:style>
  <w:style w:type="character" w:styleId="WW8NumSt45z0">
    <w:name w:val="WW8NumSt45z0"/>
    <w:qFormat/>
    <w:rPr>
      <w:rFonts w:ascii="Times New Roman" w:hAnsi="Times New Roman" w:cs="Times New Roman"/>
    </w:rPr>
  </w:style>
  <w:style w:type="character" w:styleId="Style12">
    <w:name w:val="Основной шрифт абзаца"/>
    <w:qFormat/>
    <w:rPr/>
  </w:style>
  <w:style w:type="character" w:styleId="Style13">
    <w:name w:val="Page Number"/>
    <w:basedOn w:val="Style12"/>
    <w:rPr/>
  </w:style>
  <w:style w:type="character" w:styleId="2pt">
    <w:name w:val="Основной текст + Интервал 2 pt"/>
    <w:qFormat/>
    <w:rPr>
      <w:rFonts w:ascii="Sylfaen" w:hAnsi="Sylfaen" w:cs="Sylfaen"/>
      <w:spacing w:val="50"/>
      <w:sz w:val="25"/>
      <w:szCs w:val="25"/>
    </w:rPr>
  </w:style>
  <w:style w:type="character" w:styleId="2">
    <w:name w:val="Основной текст (2)_"/>
    <w:qFormat/>
    <w:rPr>
      <w:sz w:val="22"/>
      <w:szCs w:val="22"/>
      <w:shd w:fill="FFFFFF" w:val="clear"/>
    </w:rPr>
  </w:style>
  <w:style w:type="character" w:styleId="20pt">
    <w:name w:val="Основной текст (2) + Интервал 0 pt"/>
    <w:qFormat/>
    <w:rPr>
      <w:spacing w:val="10"/>
      <w:sz w:val="21"/>
      <w:szCs w:val="21"/>
      <w:shd w:fill="FFFFFF" w:val="clear"/>
    </w:rPr>
  </w:style>
  <w:style w:type="character" w:styleId="Verdana">
    <w:name w:val="Основной текст + Verdana"/>
    <w:qFormat/>
    <w:rPr>
      <w:rFonts w:ascii="Verdana" w:hAnsi="Verdana" w:cs="Verdana"/>
      <w:b/>
      <w:sz w:val="13"/>
      <w:u w:val="none"/>
    </w:rPr>
  </w:style>
  <w:style w:type="character" w:styleId="5">
    <w:name w:val="Основной текст (5)_"/>
    <w:qFormat/>
    <w:rPr>
      <w:rFonts w:ascii="Calibri" w:hAnsi="Calibri" w:cs="Calibri"/>
      <w:sz w:val="27"/>
      <w:szCs w:val="27"/>
      <w:shd w:fill="FFFFFF" w:val="clear"/>
    </w:rPr>
  </w:style>
  <w:style w:type="character" w:styleId="11">
    <w:name w:val="Основной текст1"/>
    <w:qFormat/>
    <w:rPr>
      <w:rFonts w:ascii="Times New Roman" w:hAnsi="Times New Roman" w:cs="Times New Roman"/>
      <w:color w:val="000000"/>
      <w:spacing w:val="10"/>
      <w:w w:val="100"/>
      <w:position w:val="0"/>
      <w:sz w:val="26"/>
      <w:sz w:val="26"/>
      <w:u w:val="none"/>
      <w:vertAlign w:val="baseline"/>
      <w:lang w:val="ru-RU"/>
    </w:rPr>
  </w:style>
  <w:style w:type="character" w:styleId="Exact">
    <w:name w:val="Основной текст Exact"/>
    <w:qFormat/>
    <w:rPr>
      <w:rFonts w:ascii="Times New Roman" w:hAnsi="Times New Roman" w:cs="Times New Roman"/>
      <w:u w:val="none"/>
    </w:rPr>
  </w:style>
  <w:style w:type="character" w:styleId="Style14">
    <w:name w:val="Основной текст + Курсив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 w:val="27"/>
      <w:szCs w:val="27"/>
      <w:u w:val="none"/>
      <w:shd w:fill="FFFFFF" w:val="clear"/>
      <w:vertAlign w:val="baseline"/>
      <w:lang w:val="ru-RU"/>
    </w:rPr>
  </w:style>
  <w:style w:type="character" w:styleId="21">
    <w:name w:val="Заголовок №2 + Полужирный"/>
    <w:qFormat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 w:val="26"/>
      <w:szCs w:val="26"/>
      <w:u w:val="none"/>
      <w:shd w:fill="FFFFFF" w:val="clear"/>
      <w:vertAlign w:val="baseline"/>
      <w:lang w:val="ru-RU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Основной текст_"/>
    <w:qFormat/>
    <w:rPr>
      <w:spacing w:val="10"/>
      <w:sz w:val="26"/>
      <w:szCs w:val="26"/>
      <w:shd w:fill="FFFFFF" w:val="clear"/>
    </w:rPr>
  </w:style>
  <w:style w:type="character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styleId="FontStyle83">
    <w:name w:val="Font Style83"/>
    <w:qFormat/>
    <w:rPr>
      <w:rFonts w:ascii="Times New Roman" w:hAnsi="Times New Roman" w:cs="Times New Roman"/>
      <w:sz w:val="16"/>
      <w:szCs w:val="16"/>
    </w:rPr>
  </w:style>
  <w:style w:type="character" w:styleId="FontStyle84">
    <w:name w:val="Font Style84"/>
    <w:qFormat/>
    <w:rPr>
      <w:rFonts w:ascii="Times New Roman" w:hAnsi="Times New Roman" w:cs="Times New Roman"/>
      <w:b/>
      <w:bCs/>
      <w:spacing w:val="-10"/>
      <w:sz w:val="18"/>
      <w:szCs w:val="18"/>
    </w:rPr>
  </w:style>
  <w:style w:type="character" w:styleId="FontStyle85">
    <w:name w:val="Font Style85"/>
    <w:qFormat/>
    <w:rPr>
      <w:rFonts w:ascii="Times New Roman" w:hAnsi="Times New Roman" w:cs="Times New Roman"/>
      <w:b/>
      <w:bCs/>
      <w:sz w:val="18"/>
      <w:szCs w:val="18"/>
    </w:rPr>
  </w:style>
  <w:style w:type="character" w:styleId="-">
    <w:name w:val="Hyperlink"/>
    <w:rPr>
      <w:color w:val="0000FF"/>
      <w:u w:val="single"/>
    </w:rPr>
  </w:style>
  <w:style w:type="character" w:styleId="FontStyle14">
    <w:name w:val="Font Style14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11">
    <w:name w:val="Font Style11"/>
    <w:qFormat/>
    <w:rPr>
      <w:rFonts w:ascii="Times New Roman" w:hAnsi="Times New Roman" w:cs="Times New Roman"/>
      <w:spacing w:val="10"/>
      <w:sz w:val="24"/>
      <w:szCs w:val="24"/>
    </w:rPr>
  </w:style>
  <w:style w:type="character" w:styleId="FontStyle12">
    <w:name w:val="Font Style12"/>
    <w:qFormat/>
    <w:rPr>
      <w:rFonts w:ascii="Times New Roman" w:hAnsi="Times New Roman" w:cs="Times New Roman"/>
      <w:spacing w:val="-10"/>
      <w:sz w:val="28"/>
      <w:szCs w:val="28"/>
    </w:rPr>
  </w:style>
  <w:style w:type="character" w:styleId="FontStyle13">
    <w:name w:val="Font Style13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71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2">
    <w:name w:val="Обычный (веб)"/>
    <w:basedOn w:val="Normal"/>
    <w:qFormat/>
    <w:pPr>
      <w:suppressAutoHyphens w:val="true"/>
      <w:spacing w:before="280" w:after="119"/>
    </w:pPr>
    <w:rPr/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">
    <w:name w:val="Основной текст с отступом 3"/>
    <w:basedOn w:val="Normal"/>
    <w:qFormat/>
    <w:pPr>
      <w:spacing w:before="0" w:after="120"/>
      <w:ind w:left="283" w:right="0" w:hanging="0"/>
    </w:pPr>
    <w:rPr>
      <w:color w:val="000000"/>
      <w:sz w:val="16"/>
      <w:szCs w:val="16"/>
    </w:rPr>
  </w:style>
  <w:style w:type="paragraph" w:styleId="Style2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27">
    <w:name w:val="Абзац списка"/>
    <w:basedOn w:val="Normal"/>
    <w:qFormat/>
    <w:pPr>
      <w:ind w:left="708" w:right="0" w:hanging="0"/>
    </w:pPr>
    <w:rPr/>
  </w:style>
  <w:style w:type="paragraph" w:styleId="22">
    <w:name w:val="Основной текст (2)"/>
    <w:basedOn w:val="Normal"/>
    <w:qFormat/>
    <w:pPr>
      <w:widowControl w:val="false"/>
      <w:shd w:val="clear" w:fill="FFFFFF"/>
      <w:spacing w:lineRule="atLeast" w:line="240" w:before="60" w:after="420"/>
      <w:jc w:val="center"/>
    </w:pPr>
    <w:rPr>
      <w:sz w:val="22"/>
      <w:szCs w:val="22"/>
    </w:rPr>
  </w:style>
  <w:style w:type="paragraph" w:styleId="51">
    <w:name w:val="Основной текст (5)"/>
    <w:basedOn w:val="Normal"/>
    <w:qFormat/>
    <w:pPr>
      <w:widowControl w:val="false"/>
      <w:shd w:val="clear" w:fill="FFFFFF"/>
      <w:spacing w:lineRule="exact" w:line="341" w:before="420" w:after="300"/>
      <w:ind w:left="0" w:right="0" w:hanging="1840"/>
    </w:pPr>
    <w:rPr>
      <w:rFonts w:ascii="Calibri" w:hAnsi="Calibri" w:cs="Calibri"/>
      <w:sz w:val="27"/>
      <w:szCs w:val="27"/>
    </w:rPr>
  </w:style>
  <w:style w:type="paragraph" w:styleId="Style2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>
    <w:name w:val="Основной текст12"/>
    <w:basedOn w:val="Normal"/>
    <w:qFormat/>
    <w:pPr>
      <w:shd w:val="clear" w:fill="FFFFFF"/>
      <w:spacing w:lineRule="atLeast" w:line="240" w:before="360" w:after="900"/>
      <w:ind w:left="23" w:right="40" w:firstLine="697"/>
      <w:jc w:val="both"/>
    </w:pPr>
    <w:rPr>
      <w:spacing w:val="10"/>
      <w:sz w:val="26"/>
      <w:szCs w:val="26"/>
    </w:rPr>
  </w:style>
  <w:style w:type="paragraph" w:styleId="Style61">
    <w:name w:val="Style6"/>
    <w:basedOn w:val="Normal"/>
    <w:qFormat/>
    <w:pPr>
      <w:widowControl w:val="false"/>
      <w:spacing w:lineRule="exact" w:line="274"/>
      <w:ind w:left="0" w:right="0" w:firstLine="418"/>
      <w:jc w:val="both"/>
    </w:pPr>
    <w:rPr/>
  </w:style>
  <w:style w:type="paragraph" w:styleId="31">
    <w:name w:val=" Знак Знак3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13">
    <w:name w:val=" Знак Знак1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91">
    <w:name w:val="Style9"/>
    <w:basedOn w:val="Normal"/>
    <w:qFormat/>
    <w:pPr>
      <w:widowControl w:val="false"/>
      <w:spacing w:lineRule="exact" w:line="216"/>
      <w:jc w:val="both"/>
    </w:pPr>
    <w:rPr/>
  </w:style>
  <w:style w:type="paragraph" w:styleId="Style221">
    <w:name w:val="Style22"/>
    <w:basedOn w:val="Normal"/>
    <w:qFormat/>
    <w:pPr>
      <w:widowControl w:val="false"/>
      <w:spacing w:lineRule="exact" w:line="218"/>
      <w:ind w:left="0" w:right="0" w:firstLine="461"/>
      <w:jc w:val="both"/>
    </w:pPr>
    <w:rPr/>
  </w:style>
  <w:style w:type="paragraph" w:styleId="23">
    <w:name w:val=" Знак 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Formattexttopleveltext">
    <w:name w:val="formattext topleveltext"/>
    <w:basedOn w:val="Normal"/>
    <w:qFormat/>
    <w:pPr>
      <w:spacing w:before="280" w:after="280"/>
    </w:pPr>
    <w:rPr/>
  </w:style>
  <w:style w:type="paragraph" w:styleId="Style81">
    <w:name w:val="Style8"/>
    <w:basedOn w:val="Normal"/>
    <w:qFormat/>
    <w:pPr>
      <w:widowControl w:val="false"/>
      <w:spacing w:lineRule="exact" w:line="310"/>
      <w:jc w:val="both"/>
    </w:pPr>
    <w:rPr/>
  </w:style>
  <w:style w:type="paragraph" w:styleId="Style29">
    <w:name w:val="Style2"/>
    <w:basedOn w:val="Normal"/>
    <w:qFormat/>
    <w:pPr>
      <w:widowControl w:val="false"/>
      <w:spacing w:lineRule="exact" w:line="307"/>
      <w:jc w:val="both"/>
    </w:pPr>
    <w:rPr/>
  </w:style>
  <w:style w:type="paragraph" w:styleId="Style31">
    <w:name w:val="Style3"/>
    <w:basedOn w:val="Normal"/>
    <w:qFormat/>
    <w:pPr>
      <w:widowControl w:val="false"/>
      <w:spacing w:lineRule="exact" w:line="305"/>
      <w:ind w:left="0" w:right="0" w:firstLine="485"/>
    </w:pPr>
    <w:rPr/>
  </w:style>
  <w:style w:type="paragraph" w:styleId="Style30">
    <w:name w:val="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10">
    <w:name w:val="Style1"/>
    <w:basedOn w:val="Normal"/>
    <w:qFormat/>
    <w:pPr>
      <w:widowControl w:val="false"/>
      <w:spacing w:lineRule="exact" w:line="221"/>
      <w:ind w:left="0" w:right="0" w:firstLine="486"/>
      <w:jc w:val="both"/>
    </w:pPr>
    <w:rPr>
      <w:rFonts w:eastAsia="Times New Roman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dex.ru/clck/jsredir?bu=j7c4&amp;from=yandex.ru%3Bsearch%2F%3Bweb%3B%3B&amp;text=&amp;etext=1966.XW2yGej4dxMnP2pl1WD9exMz6Db1klPryXiDZZGzICT76EQPZY1MNbDaNoeE_LvRncl4rBqvdxNBDng-9siAWCe7ilimBoCTsIoCi1sPQbH5FUWoqppgDhIIc06n5kkCM1Pm7VS08fKIK4IXwa1fRasMILtVkHKYRNTLVUZ5CR3m7IIiRvSKp4IIIfJNYmcZ3jD8MsWjl56NUtpw87iAkZD-8j6iNB4AEnCi7d9Utsw.9e02c918942be1d74af5c6569597948886ab0688&amp;uuid=&amp;state=PEtFfuTeVD5kpHnK9lio9dFa2ePbDzX7sdpoY4CdtdgxLYsTNjk9xbHNmc71fHrFggt7zgnyQpHdbmLEZ2aQaqYBDVHYLUZvWI6VTOkVdNBbQAa4sl4sWg,,&amp;&amp;cst=AiuY0DBWFJ5fN_r-AEszk2T1VEyh9AjcpuRz5LbrvJYEGct7mYWAG2-xn8LDJKhEUVBU0e0AnFkjtT2M1JKCmFTck86O-2UByN0mj7abw4gs7ULj96Ga8HlszNYvftQqZb3jOKAxCyag31VV4l721MoIANQ0FEgMzipHo_3-Jwvv1sswCoTV8csAFed8xuv-Q79qHu7k8eSyc6oDggAr2kFjvxYQ7USzQg4W0dAhs7pA4vO6URJ4xQ6XTaC_HnBxCHporOwt4xom7Kav_ZyxRFeLofZEXXEVxOmGzziDYS9x05jZGFLB1-LHku0rlggv8F8-623rZ7FRktOTYVvKDklvjTEbip8uo0LI7Q5zfaiPXEj0Rvr5nC_v0I5t-cgQUAiEuTi8dNCY8lj9dihIdqPmihgH-NCjj24Kb8B6nIUjRrOqsiM0pzBsoCz-EH8Wur_zluRtfJiiB9liI_qsUTSy0v-9deqb49CmoqehxG7TmBK35UkAyJDcSt_To4dYJZNh3b92xNVl87cX40aD9IAAZD0Xg_0CA-MMSXO2Ix8ajuJA0A7YMiF6tIjtIy12mW9LlrfMg41WwQrkPqCR_0k-LQBNeLe97RUEqvg-frWZIa24TU6TVs3JBOaOCHsM2Wq-iTWRs9Bb_T_Oah6c7iA7vvDc8EAjeNLr65OB0nKKC2UCDsTKRXAhilWo_r6s_WG9BIFeURrvyAzRNB7gpOJffuq14FVmuT11X5cDwjfHmeEOd2832g,,&amp;data=UlNrNmk5WktYejY4cHFySjRXSWhXTHo5MjNXdHFqWGh2cHQzNl9BQ0tyS3RHNmg0Y3Z3anFhQWIxUDVqd1BEbDVDN1piX1pTY1hfekQ4NF9PQUJuMUdTOGh3UHZLaFpLejJjTUtwV1pTNngtSTNMY1dMU0NTRFAtbzlKUnlJVUhkYzIxcVp5U0EwVzZjZEhwaWY1ek01N3VqLV96bVFoRV9rYXNyVXVoNkswLA,,&amp;sign=f6e55d02fdc40750a11b554f904b1858&amp;keyno=0&amp;b64e=2&amp;ref=orjY4mGPRjk5boDnW0uvlrrd71vZw9kpxQJ4hz-2ALLp0zCS6eBUA6sqKHA38BWMuPtFdzxuCO5CkXSyEAVIXT9qnjz3aBNwczpBgoDv5WNGY2IjbcOh_ZJs4fZb1LqtEDiQIGaCZ0h382gG4IMU20sG1rjMq2g40VREcyybQjn5WrAA54arLxtbr3TjVWOFJV47O6qiYelnvEyTuZxdZAEPIruE8qCtqEB6MvSnm1V2Zam0ppv6BIpoNacrOpdO_0Hf7eAfzIJvUvfzcWjO4u24nj9HXQpzEWGEVAzU25vJjqzrjW-oSy4ySJ0ArEMnc9SapMXIvXKh6mYT9OECinIsyg7K2BMq2axQRFAhUnYhqUPiDdXKI_xSNfeuGVy5Qm1fTijmFF86py3Nw-M5iapArkbm4qNEMkOe6l9ugwu29XSf8bwnOlD8xxEXPAgszl7_koIomEoxU77dPRhu0ey_KdxRBMWj2lAnCfaNLFJqS8OlP1sVTfe8BDNiDTxM18OWHz4HekxWe80d4HXjzVq66-XW9q8DqGJGe9i0rOgqKL-KwTiYunUJws5bWGi14pmxjzKrt-YlzAXIId-myEilWIjZYVlXFqizogMtsg1UC0l2JGgKd5m5CbWNtZ_1-7fWNGdcYVbtUV21_XQwNciV-uuZqdf9oveRInCYL9MKLxweFI5VMgRG_3l8S2kv&amp;l10n=ru&amp;rp=1&amp;cts=1541753981056&amp;mc=3.1556390622295662&amp;hdtime=673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521</TotalTime>
  <Application>LibreOffice/7.5.6.2$Linux_X86_64 LibreOffice_project/50$Build-2</Application>
  <AppVersion>15.0000</AppVersion>
  <Pages>5</Pages>
  <Words>1081</Words>
  <Characters>7360</Characters>
  <CharactersWithSpaces>8466</CharactersWithSpaces>
  <Paragraphs>247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2023-03-10T09:24:00Z</dcterms:created>
  <dc:creator>1</dc:creator>
  <dc:description/>
  <dc:language>ru-RU</dc:language>
  <cp:lastModifiedBy/>
  <cp:lastPrinted>2023-03-10T09:23:00Z</cp:lastPrinted>
  <dcterms:modified xsi:type="dcterms:W3CDTF">2024-02-28T15:22:27Z</dcterms:modified>
  <cp:revision>10</cp:revision>
  <dc:subject/>
  <dc:title>МУНИЦИПАЛЬНАЯ ЦЕЛЕВАЯ ПРОГРАММА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