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4111" w:leader="none"/>
          <w:tab w:val="left" w:pos="5387" w:leader="none"/>
        </w:tabs>
        <w:ind w:right="5102" w:hanging="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О внесении изменений в постановление Исполнительного комитета от 18.11.2014 № 7047 «Об утверждении муниципальной программы «Реализация антикоррупционной политики муниципального образования город Набережные Челны на 2015 – 2025 годы»</w:t>
      </w:r>
    </w:p>
    <w:p>
      <w:pPr>
        <w:pStyle w:val="1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ind w:right="-1" w:firstLine="567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Законом Республики Татарстан от 04.05.2006 № 34-ЗРТ «О противодействии коррупции в Республике Татарстан», постановлением Кабинета Министров Республики Татарстан от 18.09.2023 № 1150 «О внесении изменений в постановление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2025 годы», статьей 53 Устава города</w:t>
      </w:r>
    </w:p>
    <w:p>
      <w:pPr>
        <w:pStyle w:val="Normal"/>
        <w:ind w:right="-1" w:firstLine="567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right="-1" w:firstLine="567"/>
        <w:jc w:val="center"/>
        <w:rPr>
          <w:color w:val="000000" w:themeColor="text1"/>
        </w:rPr>
      </w:pPr>
      <w:r>
        <w:rPr>
          <w:color w:val="000000" w:themeColor="text1"/>
        </w:rPr>
        <w:t>П О С Т А Н О В Л Я Ю:</w:t>
      </w:r>
    </w:p>
    <w:p>
      <w:pPr>
        <w:pStyle w:val="1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right="-1"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Внести в </w:t>
      </w:r>
      <w:r>
        <w:rPr>
          <w:bCs/>
          <w:color w:val="000000" w:themeColor="text1"/>
        </w:rPr>
        <w:t>постановление Исполнительного  комитета от 18.11.2014  № 7047 «Об утверждении муниципальной программы «Реализация антикоррупционной политики муниципального образования город Набережные Челны на 2015-2025 годы»</w:t>
      </w:r>
      <w:r>
        <w:rPr>
          <w:color w:val="000000" w:themeColor="text1"/>
        </w:rPr>
        <w:t xml:space="preserve"> (в редакции постановлений Исполнительного комитета от </w:t>
      </w:r>
      <w:r>
        <w:rPr>
          <w:rFonts w:eastAsia="Calibri"/>
          <w:color w:val="000000" w:themeColor="text1"/>
        </w:rPr>
        <w:t xml:space="preserve">08.12.2014 </w:t>
      </w:r>
      <w:hyperlink r:id="rId2">
        <w:r>
          <w:rPr>
            <w:rFonts w:eastAsia="Calibri"/>
            <w:color w:val="000000" w:themeColor="text1"/>
          </w:rPr>
          <w:t>№ 7609</w:t>
        </w:r>
      </w:hyperlink>
      <w:r>
        <w:rPr>
          <w:rFonts w:eastAsia="Calibri"/>
          <w:color w:val="000000" w:themeColor="text1"/>
        </w:rPr>
        <w:t xml:space="preserve">, от 30.03.2016 </w:t>
      </w:r>
      <w:hyperlink r:id="rId3">
        <w:r>
          <w:rPr>
            <w:rFonts w:eastAsia="Calibri"/>
            <w:color w:val="000000" w:themeColor="text1"/>
          </w:rPr>
          <w:t>№ 1423</w:t>
        </w:r>
      </w:hyperlink>
      <w:r>
        <w:rPr>
          <w:rFonts w:eastAsia="Calibri"/>
          <w:color w:val="000000" w:themeColor="text1"/>
        </w:rPr>
        <w:t xml:space="preserve">, от 20.05.2016 </w:t>
      </w:r>
      <w:hyperlink r:id="rId4">
        <w:r>
          <w:rPr>
            <w:rFonts w:eastAsia="Calibri"/>
            <w:color w:val="000000" w:themeColor="text1"/>
          </w:rPr>
          <w:t>№ 2539</w:t>
        </w:r>
      </w:hyperlink>
      <w:r>
        <w:rPr>
          <w:rFonts w:eastAsia="Calibri"/>
          <w:color w:val="000000" w:themeColor="text1"/>
        </w:rPr>
        <w:t xml:space="preserve">, от 12.03.2018 </w:t>
      </w:r>
      <w:hyperlink r:id="rId5">
        <w:r>
          <w:rPr>
            <w:rFonts w:eastAsia="Calibri"/>
            <w:color w:val="000000" w:themeColor="text1"/>
          </w:rPr>
          <w:t>№ 1243</w:t>
        </w:r>
      </w:hyperlink>
      <w:r>
        <w:rPr>
          <w:rFonts w:eastAsia="Calibri"/>
          <w:color w:val="000000" w:themeColor="text1"/>
        </w:rPr>
        <w:t xml:space="preserve">, от 06.09.2018 </w:t>
      </w:r>
      <w:hyperlink r:id="rId6">
        <w:r>
          <w:rPr>
            <w:rFonts w:eastAsia="Calibri"/>
            <w:color w:val="000000" w:themeColor="text1"/>
          </w:rPr>
          <w:t>№ 4995</w:t>
        </w:r>
      </w:hyperlink>
      <w:r>
        <w:rPr>
          <w:rFonts w:eastAsia="Calibri"/>
          <w:color w:val="000000" w:themeColor="text1"/>
        </w:rPr>
        <w:t>, от 29.03.2019 № 1613, от 16.09.2019 № 4704,  от 13.08.2020 № 3930, от 20.02.2021 № 1209, от 06.08.2021 № 5222, от 11.10.2021 № 6661, от 31.03.2022 № 1716, от 14.07.2022 № 3559</w:t>
      </w:r>
      <w:r>
        <w:rPr>
          <w:color w:val="000000" w:themeColor="text1"/>
        </w:rPr>
        <w:t>) следующие изменения:</w:t>
      </w:r>
    </w:p>
    <w:p>
      <w:pPr>
        <w:pStyle w:val="ConsPlusNormal"/>
        <w:suppressAutoHyphens w:val="true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1) наименование изложить в следующей редакции: </w:t>
      </w:r>
    </w:p>
    <w:p>
      <w:pPr>
        <w:pStyle w:val="ConsPlusNormal"/>
        <w:suppressAutoHyphens w:val="true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«Об утверждении муниципальной программы «Реализация антикоррупционной политики муниципального образования город Набережные Челны»;</w:t>
      </w:r>
    </w:p>
    <w:p>
      <w:pPr>
        <w:pStyle w:val="Normal"/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>2) преамбулу изложить в следующей редакции: «В соответствии с Указом Президента Российской Федерации от 16.08.2021 № 478 «О Национальном плане противодействия коррупции на 2021 – 2024 годы»,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Татарстан», статьей 53 Устава города»;</w:t>
      </w:r>
    </w:p>
    <w:p>
      <w:pPr>
        <w:pStyle w:val="ConsPlusNormal"/>
        <w:suppressAutoHyphens w:val="true"/>
        <w:ind w:left="709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 в пункте 1 слова «на 2015 – 2025 годы» исключить;</w:t>
      </w:r>
    </w:p>
    <w:p>
      <w:pPr>
        <w:pStyle w:val="ConsPlusNormal"/>
        <w:suppressAutoHyphens w:val="true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4) пункт 1.1 изложить в следующей редакции: </w:t>
      </w:r>
    </w:p>
    <w:p>
      <w:pPr>
        <w:pStyle w:val="ConsPlusNormal"/>
        <w:suppressAutoHyphens w:val="true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«1.1. Управлению финансов Исполнительного комитета обеспечить финансирование муниципальной программы «Реализация антикоррупционной политики муниципального образования город Набережные Челны» за счет средств бюджета города по разделу 07.07 «Молодежная политика и оздоровление детей» в сумме 360,00 тыс. рублей, в том числе: 2024 год – 120,00 тыс. рублей, 2025 год – 120,00 тыс. рублей, 2026 год – 120,00 тыс. рублей.»;</w:t>
      </w:r>
    </w:p>
    <w:p>
      <w:pPr>
        <w:pStyle w:val="ConsPlusNormal"/>
        <w:suppressAutoHyphens w:val="true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 муниципальную программу «Реализация антикоррупционной политики муниципального образования город Набережные Челны» изложить в новой редакции согласно приложению.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right="-1" w:firstLine="709"/>
        <w:jc w:val="both"/>
        <w:outlineLvl w:val="3"/>
        <w:rPr>
          <w:color w:val="000000" w:themeColor="text1"/>
        </w:rPr>
      </w:pPr>
      <w:r>
        <w:rPr>
          <w:color w:val="000000" w:themeColor="text1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color w:val="000000" w:themeColor="text1"/>
          <w:lang w:val="en-US"/>
        </w:rPr>
        <w:t>pravo</w:t>
      </w:r>
      <w:r>
        <w:rPr>
          <w:color w:val="000000" w:themeColor="text1"/>
        </w:rPr>
        <w:t>.</w:t>
      </w:r>
      <w:r>
        <w:rPr>
          <w:color w:val="000000" w:themeColor="text1"/>
          <w:lang w:val="en-US"/>
        </w:rPr>
        <w:t>tatarstan</w:t>
      </w:r>
      <w:r>
        <w:rPr>
          <w:color w:val="000000" w:themeColor="text1"/>
        </w:rPr>
        <w:t>.</w:t>
      </w:r>
      <w:r>
        <w:rPr>
          <w:color w:val="000000" w:themeColor="text1"/>
          <w:lang w:val="en-US"/>
        </w:rPr>
        <w:t>ru</w:t>
      </w:r>
      <w:r>
        <w:rPr>
          <w:color w:val="000000" w:themeColor="text1"/>
        </w:rPr>
        <w:t>), на официальном сайте города Набережные Челны в сети «Интернет».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right="-1" w:firstLine="709"/>
        <w:jc w:val="both"/>
        <w:outlineLvl w:val="3"/>
        <w:rPr>
          <w:color w:val="000000" w:themeColor="text1"/>
        </w:rPr>
      </w:pPr>
      <w:r>
        <w:rPr>
          <w:color w:val="000000" w:themeColor="text1"/>
        </w:rPr>
        <w:t>3.  Контроль за исполнением настоящего постановления оставляю за собой.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0" w:right="-1" w:hanging="0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0" w:right="-1" w:hanging="0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0" w:right="-1" w:hanging="0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0" w:right="-1" w:hanging="0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Руководитель</w:t>
      </w:r>
    </w:p>
    <w:p>
      <w:pPr>
        <w:sectPr>
          <w:type w:val="nextPage"/>
          <w:pgSz w:w="11906" w:h="16838"/>
          <w:pgMar w:left="1134" w:right="567" w:gutter="0" w:header="0" w:top="426" w:footer="0" w:bottom="993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0" w:right="-1" w:hanging="0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Исполнительного комитета</w:t>
        <w:tab/>
        <w:tab/>
        <w:tab/>
        <w:tab/>
        <w:tab/>
        <w:tab/>
        <w:tab/>
        <w:tab/>
        <w:tab/>
        <w:t>Ф.Ш. Салахов</w:t>
      </w:r>
    </w:p>
    <w:p>
      <w:pPr>
        <w:pStyle w:val="ConsPlusNormal"/>
        <w:suppressAutoHyphens w:val="tru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ConsPlusNormal"/>
        <w:suppressAutoHyphens w:val="true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ConsPlusNormal"/>
        <w:widowControl/>
        <w:tabs>
          <w:tab w:val="clear" w:pos="708"/>
          <w:tab w:val="left" w:pos="7590" w:leader="none"/>
        </w:tabs>
        <w:suppressAutoHyphens w:val="true"/>
        <w:bidi w:val="0"/>
        <w:spacing w:lineRule="auto" w:line="240" w:before="0" w:after="0"/>
        <w:ind w:right="0" w:hanging="0"/>
        <w:jc w:val="left"/>
        <w:rPr/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color w:val="000000" w:themeColor="text1"/>
          <w:sz w:val="24"/>
          <w:szCs w:val="24"/>
        </w:rPr>
        <w:t>Приложение</w:t>
      </w:r>
    </w:p>
    <w:p>
      <w:pPr>
        <w:pStyle w:val="ConsPlusNormal"/>
        <w:widowControl/>
        <w:tabs>
          <w:tab w:val="clear" w:pos="708"/>
          <w:tab w:val="left" w:pos="6345" w:leader="none"/>
        </w:tabs>
        <w:suppressAutoHyphens w:val="true"/>
        <w:bidi w:val="0"/>
        <w:spacing w:lineRule="auto" w:line="240" w:before="0" w:after="0"/>
        <w:ind w:left="6293" w:right="0" w:hanging="0"/>
        <w:jc w:val="left"/>
        <w:rPr/>
      </w:pPr>
      <w:r>
        <w:rPr>
          <w:color w:val="000000" w:themeColor="text1"/>
          <w:sz w:val="24"/>
          <w:szCs w:val="24"/>
        </w:rPr>
        <w:t>к постановлению</w:t>
      </w:r>
    </w:p>
    <w:p>
      <w:pPr>
        <w:pStyle w:val="ConsPlusNormal"/>
        <w:widowControl/>
        <w:tabs>
          <w:tab w:val="clear" w:pos="708"/>
          <w:tab w:val="left" w:pos="6345" w:leader="none"/>
        </w:tabs>
        <w:suppressAutoHyphens w:val="true"/>
        <w:bidi w:val="0"/>
        <w:spacing w:lineRule="auto" w:line="240" w:before="0" w:after="0"/>
        <w:ind w:left="6293" w:right="0" w:hanging="0"/>
        <w:jc w:val="left"/>
        <w:rPr/>
      </w:pP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z w:val="24"/>
          <w:szCs w:val="24"/>
        </w:rPr>
        <w:t>сполнительного комитета от_______</w:t>
      </w:r>
      <w:r>
        <w:rPr>
          <w:color w:val="000000" w:themeColor="text1"/>
          <w:sz w:val="24"/>
          <w:szCs w:val="24"/>
        </w:rPr>
        <w:t>____</w:t>
      </w:r>
      <w:r>
        <w:rPr>
          <w:color w:val="000000" w:themeColor="text1"/>
          <w:sz w:val="24"/>
          <w:szCs w:val="24"/>
        </w:rPr>
        <w:t>№_____</w:t>
      </w:r>
      <w:r>
        <w:rPr>
          <w:color w:val="000000" w:themeColor="text1"/>
          <w:sz w:val="24"/>
          <w:szCs w:val="24"/>
        </w:rPr>
        <w:t>___</w:t>
      </w:r>
    </w:p>
    <w:p>
      <w:pPr>
        <w:pStyle w:val="ConsPlusNormal"/>
        <w:suppressAutoHyphens w:val="true"/>
        <w:ind w:firstLine="709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ConsPlusNormal"/>
        <w:suppressAutoHyphens w:val="true"/>
        <w:ind w:firstLine="709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ConsPlusNormal"/>
        <w:suppressAutoHyphens w:val="true"/>
        <w:ind w:firstLine="709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Муниципальная программа «Реализация антикоррупционной политики муниципального образования город Набережные Челны»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Глава 1. Паспорт муниципальной программы</w:t>
      </w:r>
    </w:p>
    <w:p>
      <w:pPr>
        <w:pStyle w:val="ConsPlusNormal"/>
        <w:suppressAutoHyphens w:val="tru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1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985"/>
        <w:gridCol w:w="1844"/>
        <w:gridCol w:w="1132"/>
        <w:gridCol w:w="1134"/>
        <w:gridCol w:w="1135"/>
        <w:gridCol w:w="1927"/>
      </w:tblGrid>
      <w:tr>
        <w:trPr>
          <w:trHeight w:val="379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Наименование муниципальной программы </w:t>
            </w: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Реализация антикоррупционной политики муниципального образования город Набережные Челны (далее - программа) </w:t>
            </w:r>
          </w:p>
        </w:tc>
      </w:tr>
      <w:tr>
        <w:trPr>
          <w:trHeight w:val="105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Основание для разработки программы (наименование, номер и дата правового акта) </w:t>
            </w: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Указ Президента Российской Федерации от 16.08.2021 № 478 «О Национальном плане противодействия коррупции на 2021 – 2024 годы».</w:t>
            </w:r>
          </w:p>
          <w:p>
            <w:pPr>
              <w:pStyle w:val="ConsPlusNormal"/>
              <w:widowControl w:val="false"/>
              <w:suppressAutoHyphens w:val="true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 Закон Республики Татарстан от 04.05.2006 № 34-ЗРТ «О противодействии коррупции в Республике Татарстан». </w:t>
            </w:r>
          </w:p>
          <w:p>
            <w:pPr>
              <w:pStyle w:val="ConsPlusNormal"/>
              <w:widowControl w:val="false"/>
              <w:suppressAutoHyphens w:val="true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Постановление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Татарстан». </w:t>
            </w:r>
          </w:p>
          <w:p>
            <w:pPr>
              <w:pStyle w:val="ConsPlusNormal"/>
              <w:widowControl w:val="false"/>
              <w:suppressAutoHyphens w:val="true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Устав муниципального образования город Набережные Челны</w:t>
            </w:r>
          </w:p>
        </w:tc>
      </w:tr>
      <w:tr>
        <w:trPr>
          <w:trHeight w:val="379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Основные разработчики программы </w:t>
            </w: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Помощник Мэра города (по вопросам противодействия коррупции) </w:t>
            </w:r>
          </w:p>
        </w:tc>
      </w:tr>
      <w:tr>
        <w:trPr>
          <w:trHeight w:val="513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Исполнители программы </w:t>
            </w: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Отраслевые (функциональные) и территориальные органы Исполнительного комитета.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Городской Совет (по согласованию).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Контрольно-счетная палата муниципального образования город Набережные Челны (по согласованию)</w:t>
            </w:r>
          </w:p>
        </w:tc>
      </w:tr>
      <w:tr>
        <w:trPr>
          <w:trHeight w:val="513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Цель программы </w:t>
            </w: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органов местного самоуправления и институтов гражданского общества</w:t>
            </w:r>
          </w:p>
        </w:tc>
      </w:tr>
      <w:tr>
        <w:trPr>
          <w:trHeight w:val="513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Задачи программы </w:t>
            </w: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Совершенствование инструментов и механизмов противодействия коррупции, в том числе правовых и организационных в муниципальном образовании город Набережные Челны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ConsPlus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и устранение коррупциогенных факторов в проектах муниципальных нормативных правовых актов, </w:t>
            </w:r>
            <w:r>
              <w:rPr>
                <w:rFonts w:eastAsia="" w:eastAsiaTheme="minorEastAsia"/>
                <w:sz w:val="22"/>
                <w:szCs w:val="22"/>
              </w:rPr>
              <w:t>разработанных органами местного самоуправления,</w:t>
            </w:r>
            <w:r>
              <w:rPr>
                <w:sz w:val="22"/>
                <w:szCs w:val="22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самоуправления.</w:t>
            </w:r>
          </w:p>
          <w:p>
            <w:pPr>
              <w:pStyle w:val="ConsPlusNormal"/>
              <w:widowControl w:val="false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коррупции.</w:t>
            </w:r>
          </w:p>
          <w:p>
            <w:pPr>
              <w:pStyle w:val="ConsPlusNormal"/>
              <w:widowControl w:val="false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 xml:space="preserve">Обеспечение открытости, доступности для граждан деятельности органов местного самоуправления </w:t>
            </w:r>
            <w:r>
              <w:rPr>
                <w:sz w:val="22"/>
                <w:szCs w:val="22"/>
              </w:rPr>
              <w:t>города</w:t>
            </w:r>
            <w:r>
              <w:rPr>
                <w:rFonts w:eastAsia="" w:eastAsiaTheme="minorEastAsia"/>
                <w:sz w:val="22"/>
                <w:szCs w:val="22"/>
              </w:rPr>
              <w:t>, взаимодействие с гражданским обществом, стимулирование антикоррупционной активности общественности.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" w:eastAsiaTheme="minorEastAsia"/>
                <w:sz w:val="22"/>
                <w:szCs w:val="22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r>
              <w:rPr>
                <w:sz w:val="22"/>
                <w:szCs w:val="22"/>
              </w:rPr>
              <w:t>города</w:t>
            </w:r>
          </w:p>
        </w:tc>
      </w:tr>
      <w:tr>
        <w:trPr>
          <w:trHeight w:val="513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Сроки и этапы реализации программы</w:t>
            </w: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2024-2026 годы</w:t>
            </w:r>
          </w:p>
          <w:p>
            <w:pPr>
              <w:pStyle w:val="Default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Этапы программы не выделяются</w:t>
            </w:r>
          </w:p>
        </w:tc>
      </w:tr>
      <w:tr>
        <w:trPr>
          <w:trHeight w:val="285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 программы (с разбивкой по годам)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Годы реализации программы</w:t>
            </w:r>
          </w:p>
        </w:tc>
      </w:tr>
      <w:tr>
        <w:trPr>
          <w:trHeight w:val="510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бюджет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за период реализации (тыс. руб.)</w:t>
            </w:r>
          </w:p>
        </w:tc>
      </w:tr>
      <w:tr>
        <w:trPr>
          <w:trHeight w:val="435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360,00</w:t>
            </w:r>
          </w:p>
        </w:tc>
      </w:tr>
      <w:tr>
        <w:trPr>
          <w:trHeight w:val="70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3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 обеспечит: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целевое и эффективное использование бюджетных средств;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повышение эффективности деятельности органов местного самоуправления в области противодействия коррупции;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повышение уровня профессионального образования и подготовки муниципальных служащих</w:t>
            </w:r>
          </w:p>
        </w:tc>
      </w:tr>
      <w:tr>
        <w:trPr>
          <w:trHeight w:val="513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</w:t>
            </w:r>
          </w:p>
        </w:tc>
      </w:tr>
    </w:tbl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Глава 2. Пояснительная записка</w:t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Антикоррупционная политика Республики Татарстан в городе Набережные Челны характеризуется совершенствованием нормотворческой и правоприменительной работы на муниципальном уровне, активизацией в городе мер по противодействию коррупции. Работа проводилась по совершенствованию общественных отношений в сфере противодействия коррупции и их изменению в связи с изменением законодательства о противодействии коррупции на федеральном и республиканском уровне.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реализации муниципальной антикоррупционной </w:t>
      </w:r>
      <w:hyperlink r:id="rId7">
        <w:r>
          <w:rPr>
            <w:color w:val="0000FF"/>
            <w:sz w:val="24"/>
            <w:szCs w:val="24"/>
          </w:rPr>
          <w:t>программы</w:t>
        </w:r>
      </w:hyperlink>
      <w:r>
        <w:rPr>
          <w:sz w:val="24"/>
          <w:szCs w:val="24"/>
        </w:rPr>
        <w:t xml:space="preserve"> в городе Набережные Челны достигнуты следующие результаты: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повышен уровень информационной открытости деятельности органов местного самоуправления муниципального образования город Набережные Челны для общественности;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своевременно формируется нормативно-правовая база, необходимая для эффективного противодействия коррупции, а также повысилось качество нормативных правовых актов;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повысился профессиональный уровень муниципальных служащих;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в установленные сроки проводился анализ исполнения предыдущих программ, подводились промежуточные итоги их реализации, уточнения с учетом изменений в законодательстве о противодействии коррупции задач и программных мероприятий;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введена должность помощника Мэра города (по вопросам противодействия коррупции) для повышения результативности антикоррупционной работы, анализа складывающейся коррупционной ситуации.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Однако указанных мер недостаточно для снижения уровня коррупции в органах местного самоуправления муниципального образования город Набережные Челны. В связи с этим необходимо продолжить работу по: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информированию населения о реальной коррупционной ситуации в городе, мерах, предпринимаемых органами местного самоуправления по реализации антикоррупционной политики;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созданию условий для противодействия коррупции и предупреждению коррупционных правонарушений;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повышению эффективности взаимодействия органов местного самоуправления с гражданским обществом, по поддержке деятельности общественных объединений по противодействию коррупции; последовательному применению имеющихся правовых, образовательных и воспитательных мер, направленных на противодействие коррупции.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Глава 3. Основные цели, задачи программы</w:t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widowControl w:val="false"/>
        <w:ind w:firstLine="709"/>
        <w:jc w:val="both"/>
        <w:rPr/>
      </w:pPr>
      <w:r>
        <w:rPr>
          <w:sz w:val="24"/>
          <w:szCs w:val="24"/>
        </w:rPr>
        <w:t>Цель программы –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органов местного самоуправления и институтов гражданского общества.</w:t>
      </w:r>
      <w:r>
        <w:rPr/>
        <w:t xml:space="preserve"> 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Задачи программы: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совершенствование инструментов и механизмов противодействия коррупции, в том числе правовых и организационных;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повышение эффективности использования муниципального имущества;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снижение административного давления на предпринимательство (бизнес).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Срок реализации муниципальной программы: 2024-2026 годы.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Этапы муниципальной программы не выделяются.</w:t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even" r:id="rId8"/>
          <w:headerReference w:type="default" r:id="rId9"/>
          <w:type w:val="nextPage"/>
          <w:pgSz w:w="11906" w:h="16838"/>
          <w:pgMar w:left="1134" w:right="567" w:gutter="0" w:header="510" w:top="567" w:footer="0" w:bottom="993"/>
          <w:pgNumType w:fmt="decimal"/>
          <w:formProt w:val="false"/>
          <w:titlePg/>
          <w:textDirection w:val="lrTb"/>
          <w:docGrid w:type="default" w:linePitch="360" w:charSpace="0"/>
        </w:sectPr>
        <w:pStyle w:val="ConsPlusTitle"/>
        <w:numPr>
          <w:ilvl w:val="0"/>
          <w:numId w:val="0"/>
        </w:numPr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Глава 4. Перечень и краткое описание программных мероприятий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Перечень и краткое описание программных мероприятий</w:t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Style w:val="ac"/>
        <w:tblW w:w="158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6"/>
        <w:gridCol w:w="2602"/>
        <w:gridCol w:w="1986"/>
        <w:gridCol w:w="1842"/>
        <w:gridCol w:w="1700"/>
        <w:gridCol w:w="1297"/>
        <w:gridCol w:w="1080"/>
        <w:gridCol w:w="695"/>
        <w:gridCol w:w="696"/>
        <w:gridCol w:w="697"/>
        <w:gridCol w:w="922"/>
        <w:gridCol w:w="935"/>
        <w:gridCol w:w="908"/>
      </w:tblGrid>
      <w:tr>
        <w:trPr/>
        <w:tc>
          <w:tcPr>
            <w:tcW w:w="516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602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Наименование мероприятия</w:t>
            </w:r>
          </w:p>
        </w:tc>
        <w:tc>
          <w:tcPr>
            <w:tcW w:w="1986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Наименование индикатора</w:t>
            </w:r>
          </w:p>
        </w:tc>
        <w:tc>
          <w:tcPr>
            <w:tcW w:w="1842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Исполнитель</w:t>
            </w:r>
          </w:p>
        </w:tc>
        <w:tc>
          <w:tcPr>
            <w:tcW w:w="1700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Срок выполнения </w:t>
            </w:r>
          </w:p>
        </w:tc>
        <w:tc>
          <w:tcPr>
            <w:tcW w:w="1297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Единица измерения индикатора</w:t>
            </w:r>
          </w:p>
        </w:tc>
        <w:tc>
          <w:tcPr>
            <w:tcW w:w="3168" w:type="dxa"/>
            <w:gridSpan w:val="4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Значение индикатора</w:t>
            </w:r>
          </w:p>
        </w:tc>
        <w:tc>
          <w:tcPr>
            <w:tcW w:w="2765" w:type="dxa"/>
            <w:gridSpan w:val="3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Финансирование с указанием источника финансирования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Базовый год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2024 год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2025 год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2026 год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2024 год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2025 год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2026 год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7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8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9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11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12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13</w:t>
            </w:r>
          </w:p>
        </w:tc>
      </w:tr>
      <w:tr>
        <w:trPr/>
        <w:tc>
          <w:tcPr>
            <w:tcW w:w="15876" w:type="dxa"/>
            <w:gridSpan w:val="1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lang w:val="ru-RU" w:bidi="ar-SA"/>
              </w:rPr>
              <w:t>Цель: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органов местного самоуправления и институтов гражданского общества</w:t>
            </w:r>
          </w:p>
        </w:tc>
      </w:tr>
      <w:tr>
        <w:trPr/>
        <w:tc>
          <w:tcPr>
            <w:tcW w:w="15876" w:type="dxa"/>
            <w:gridSpan w:val="1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Задача: совершенствование инструментов и механизмов противодействия коррупции, в том числе правовых и организационных в  муниципальном образовании город Набережные Челны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Разработка муниципальных нормативных правовых актов органов местного самоуправления и внесение изменений в действующие муниципальные нормативные правовые акты органов местного самоуправления 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муниципальных нормативных правовых актов органов местного самоуправления в сфере противодействия коррупции, которые приведены в соответствие с федеральным и республиканским законодательством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Исполнительный комитет, Городской Совет (по согласованию)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Обеспечение действенного функционирования подразделений органов местного самоуправления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21.09.2009 № 1065 «</w:t>
            </w:r>
            <w:r>
              <w:rPr>
                <w:kern w:val="0"/>
                <w:sz w:val="22"/>
                <w:szCs w:val="22"/>
                <w:lang w:val="ru-RU" w:bidi="ar-SA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» и Указом Президента Республики Татарстан от 01.11.2010 № УП-711 «</w:t>
            </w:r>
            <w:r>
              <w:rPr>
                <w:kern w:val="0"/>
                <w:sz w:val="22"/>
                <w:szCs w:val="22"/>
                <w:lang w:val="ru-RU" w:bidi="ar-SA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»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Исполнительный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 комитет, </w:t>
            </w:r>
            <w:r>
              <w:rPr>
                <w:kern w:val="0"/>
                <w:sz w:val="22"/>
                <w:szCs w:val="22"/>
                <w:lang w:val="ru-RU" w:bidi="ar-SA"/>
              </w:rPr>
              <w:t>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Проведение оценки коррупционных рисков, возникающих при реализации муниципальными служащими функций,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Городской Совет (по согласованию), Исполнительный комитет, Контрольно-счетная палата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Утверждение и исполнение годовых планов работ комиссии по координации работы по противодействию коррупции </w:t>
            </w:r>
            <w:r>
              <w:rPr>
                <w:kern w:val="0"/>
                <w:sz w:val="22"/>
                <w:szCs w:val="22"/>
                <w:lang w:val="ru-RU" w:bidi="ar-SA"/>
              </w:rPr>
              <w:t>города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Проведение анализа личных дел муниципальных служащих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6.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Проведение проверки соблюдения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7.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Проведение мониторинга участия лиц, замещающих муниципальные должности, должности муниципальной службы</w:t>
            </w:r>
            <w:r>
              <w:rPr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 в управлении коммерческими и некоммерческими организациями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Городской Совет (по согласованию), Исполнительный комитет, Контрольно-счетная палата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8.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Проведение с организациями, подведомственными органам местного самоуправления, работы в целях обеспечения соблюдения обязанности принимать меры, предусмотренные положениями статьи 13.3 Федерального закона от 25.12.2008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9.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15876" w:type="dxa"/>
            <w:gridSpan w:val="1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Задача: выявление и устранение коррупциогенных факторов в проектах муниципальных нормативных правовых актов, 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разработанных органами местного самоуправления </w:t>
            </w:r>
            <w:r>
              <w:rPr>
                <w:kern w:val="0"/>
                <w:sz w:val="22"/>
                <w:szCs w:val="22"/>
                <w:lang w:val="ru-RU" w:bidi="ar-SA"/>
              </w:rPr>
              <w:t>города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11.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самоуправления, и обобщение результатов проведения указанной экспертизы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Доля разработанных органами местного самоуправления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12.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ind w:left="57" w:right="57" w:hanging="0"/>
              <w:jc w:val="both"/>
              <w:rPr>
                <w:rFonts w:eastAsia="Calibri" w:eastAsiaTheme="minorHAnsi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Размещение 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проектов муниципальных нормативных правовых актов, разработанных органами местного самоуправления,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10">
              <w:r>
                <w:rPr>
                  <w:rStyle w:val="-"/>
                  <w:kern w:val="0"/>
                  <w:sz w:val="22"/>
                  <w:szCs w:val="22"/>
                  <w:lang w:val="ru-RU" w:bidi="ar-SA"/>
                </w:rPr>
                <w:t>http://tatarstan.ru/regulation</w:t>
              </w:r>
            </w:hyperlink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Доля разработанных органами местного самоуправления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15876" w:type="dxa"/>
            <w:gridSpan w:val="1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Задача: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13.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Проведение отраслевых исследований коррупциогенных факторов и реализуемых антикоррупционных мер среди целевых групп.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Использование полученных результатов для выработки превентивных мер по противодействию коррупции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Количество проведенных исследований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30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14.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Осуществление работы по формированию у сотрудников органов местного самоуправления и муниципальных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Доля сотрудников органов местного самоуправления, с которыми проведены антикоррупционные мероприятия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50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15.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Рассмотрение на заседаниях общественного совета при Исполнительном комитете отчетов о реализации программ противодействия коррупции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Доля сотрудников органов местного самоуправления, с которыми проведены антикоррупционные мероприятия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50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16.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Обучение муниципальных служащих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муниципальных служащих, прошедших повышение квалификации по программам, в которые включены дисциплины по антикоррупционной тематике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процентов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33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33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33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33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17.</w:t>
            </w:r>
          </w:p>
        </w:tc>
        <w:tc>
          <w:tcPr>
            <w:tcW w:w="2602" w:type="dxa"/>
            <w:tcBorders/>
          </w:tcPr>
          <w:p>
            <w:pPr>
              <w:pStyle w:val="Default"/>
              <w:widowControl/>
              <w:shd w:val="clear" w:color="auto" w:fill="FFFFFF" w:themeFill="background1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городского конкурса работ на антикоррупционную тематику «Поколение честных» среди студентов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Формирование негативного отношения к коррупции </w:t>
            </w:r>
          </w:p>
        </w:tc>
        <w:tc>
          <w:tcPr>
            <w:tcW w:w="1842" w:type="dxa"/>
            <w:tcBorders/>
          </w:tcPr>
          <w:p>
            <w:pPr>
              <w:pStyle w:val="ConsPlus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Исполнительный комитет, </w:t>
            </w:r>
            <w:r>
              <w:rPr>
                <w:kern w:val="0"/>
                <w:sz w:val="22"/>
                <w:szCs w:val="22"/>
                <w:lang w:val="ru-RU" w:bidi="ar-SA"/>
              </w:rPr>
              <w:t>МАУ «МЦ «Нур»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кол-во участников 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25,00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25,00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25,00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18.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Организация интеллектуально-информационного квеста «Ведется следствие»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Формирование негативного отношения к коррупции</w:t>
            </w:r>
          </w:p>
        </w:tc>
        <w:tc>
          <w:tcPr>
            <w:tcW w:w="1842" w:type="dxa"/>
            <w:tcBorders/>
          </w:tcPr>
          <w:p>
            <w:pPr>
              <w:pStyle w:val="ConsPlus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Исполнительный комитет, </w:t>
            </w:r>
            <w:r>
              <w:rPr>
                <w:kern w:val="0"/>
                <w:sz w:val="22"/>
                <w:szCs w:val="22"/>
                <w:lang w:val="ru-RU" w:bidi="ar-SA"/>
              </w:rPr>
              <w:t>МАУ «МЦ «Нур»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кол-во участников 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70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70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70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70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28,00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28,00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28,00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19.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Организация образовательно-познавательного квеста «Скажи коррупции нет!»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Формирование негативного отношения к коррупции</w:t>
            </w:r>
          </w:p>
        </w:tc>
        <w:tc>
          <w:tcPr>
            <w:tcW w:w="1842" w:type="dxa"/>
            <w:tcBorders/>
          </w:tcPr>
          <w:p>
            <w:pPr>
              <w:pStyle w:val="ConsPlus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Исполнительный комитет, </w:t>
            </w:r>
            <w:r>
              <w:rPr>
                <w:kern w:val="0"/>
                <w:sz w:val="22"/>
                <w:szCs w:val="22"/>
                <w:lang w:val="ru-RU" w:bidi="ar-SA"/>
              </w:rPr>
              <w:t>МАУ «МЦ «Нур»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кол-во участников 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250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250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250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250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35,00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35,00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35,00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20.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Организация интеллектуально-познавательной антикоррупционной игры «Честные знания»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Формирование негативного отношения к коррупции</w:t>
            </w:r>
          </w:p>
        </w:tc>
        <w:tc>
          <w:tcPr>
            <w:tcW w:w="1842" w:type="dxa"/>
            <w:tcBorders/>
          </w:tcPr>
          <w:p>
            <w:pPr>
              <w:pStyle w:val="ConsPlus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Исполнительный комитет, </w:t>
            </w:r>
            <w:r>
              <w:rPr>
                <w:kern w:val="0"/>
                <w:sz w:val="22"/>
                <w:szCs w:val="22"/>
                <w:lang w:val="ru-RU" w:bidi="ar-SA"/>
              </w:rPr>
              <w:t>МАУ «МЦ «Нур»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кол-во участников 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80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80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80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80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32,00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32,00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</w:t>
            </w:r>
            <w:bookmarkStart w:id="0" w:name="_GoBack"/>
            <w:bookmarkEnd w:id="0"/>
            <w:r>
              <w:rPr>
                <w:kern w:val="0"/>
                <w:sz w:val="22"/>
                <w:szCs w:val="22"/>
                <w:lang w:val="ru-RU" w:bidi="ar-SA"/>
              </w:rPr>
              <w:t>2,00</w:t>
            </w:r>
          </w:p>
        </w:tc>
      </w:tr>
      <w:tr>
        <w:trPr/>
        <w:tc>
          <w:tcPr>
            <w:tcW w:w="15876" w:type="dxa"/>
            <w:gridSpan w:val="1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Задача: обеспечение открытости, доступности для граждан деятельности органов местного самоуправления </w:t>
            </w:r>
            <w:r>
              <w:rPr>
                <w:kern w:val="0"/>
                <w:sz w:val="22"/>
                <w:szCs w:val="22"/>
                <w:lang w:val="ru-RU" w:bidi="ar-SA"/>
              </w:rPr>
              <w:t>города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, взаимодействие с гражданским обществом, стимулирование антикоррупционной активности общественности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21.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Обеспечение функционирования в органах местного самоуправления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проведенных мероприятий, направленных на обеспечение открытости, доступности для граждан деятельности органов местного самоуправления,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процентов 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22.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Проведение мониторинга информации о коррупционных проявлениях в деятельности должностных лиц </w:t>
            </w:r>
            <w:r>
              <w:rPr>
                <w:kern w:val="0"/>
                <w:sz w:val="22"/>
                <w:szCs w:val="22"/>
                <w:lang w:val="ru-RU" w:bidi="ar-SA"/>
              </w:rPr>
              <w:t>города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по координации работы по противодействию коррупции города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проведенных мероприятий, направленных на обеспечение открытости, доступности для граждан деятельности органов местного самоуправления города,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процентов 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23.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Оформление и актуализация информационных стендов, раздела «Противодействие коррупции» официального сайта </w:t>
            </w:r>
            <w:r>
              <w:rPr>
                <w:kern w:val="0"/>
                <w:sz w:val="22"/>
                <w:szCs w:val="22"/>
                <w:lang w:val="ru-RU" w:bidi="ar-SA"/>
              </w:rPr>
              <w:t>города</w:t>
            </w: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 и иные формы предоставления информации антикоррупционного содержания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проведенных мероприятий, направленных на обеспечение открытости, доступности для граждан деятельности органов местного самоуправления,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процентов 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24.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проведенных мероприятий, направленных на обеспечение открытости, доступности для граждан деятельности органов местного самоуправления,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процентов 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  <w:tr>
        <w:trPr/>
        <w:tc>
          <w:tcPr>
            <w:tcW w:w="15876" w:type="dxa"/>
            <w:gridSpan w:val="1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 xml:space="preserve">Задача: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r>
              <w:rPr>
                <w:kern w:val="0"/>
                <w:sz w:val="22"/>
                <w:szCs w:val="22"/>
                <w:lang w:val="ru-RU" w:bidi="ar-SA"/>
              </w:rPr>
              <w:t>города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25.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Доля закупок, в ходе проведения которых контрольными органами вынесено решение о привлечении к административной ответственности должностного лица органов местного самоуправления за нарушение правил описания объекта закупки и правил формирования начальной максимальной цены контракта</w:t>
            </w:r>
            <w:r>
              <w:rPr>
                <w:rStyle w:val="Style18"/>
                <w:kern w:val="0"/>
                <w:sz w:val="22"/>
                <w:szCs w:val="22"/>
                <w:lang w:val="ru-RU" w:bidi="ar-SA"/>
              </w:rPr>
              <w:footnoteReference w:id="2"/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Исполнительный комитет, Городской Совет (по согласованию)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2024 – 2026 гг.</w:t>
            </w:r>
          </w:p>
        </w:tc>
        <w:tc>
          <w:tcPr>
            <w:tcW w:w="129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val="ru-RU" w:bidi="ar-SA"/>
              </w:rPr>
              <w:t>условных единиц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" w:eastAsiaTheme="minorEastAsia"/>
                <w:bCs/>
                <w:sz w:val="22"/>
                <w:szCs w:val="22"/>
              </w:rPr>
            </w:pPr>
            <w:r>
              <w:rPr>
                <w:rFonts w:eastAsia="" w:eastAsiaTheme="minorEastAsia"/>
                <w:bCs/>
                <w:kern w:val="0"/>
                <w:sz w:val="22"/>
                <w:szCs w:val="22"/>
                <w:lang w:val="ru-RU" w:bidi="ar-SA"/>
              </w:rPr>
              <w:t>0</w:t>
            </w:r>
          </w:p>
        </w:tc>
        <w:tc>
          <w:tcPr>
            <w:tcW w:w="6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0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default" r:id="rId11"/>
          <w:headerReference w:type="first" r:id="rId12"/>
          <w:footnotePr>
            <w:numFmt w:val="decimal"/>
          </w:footnotePr>
          <w:type w:val="nextPage"/>
          <w:pgSz w:orient="landscape" w:w="16838" w:h="11906"/>
          <w:pgMar w:left="851" w:right="425" w:gutter="0" w:header="510" w:top="1134" w:footer="0" w:bottom="567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b w:val="false"/>
        </w:rPr>
      </w:pPr>
      <w:r>
        <w:rPr>
          <w:b w:val="false"/>
        </w:rPr>
        <w:t>Глава 5. Индикаторы оценки результатов программы</w:t>
      </w:r>
    </w:p>
    <w:p>
      <w:pPr>
        <w:pStyle w:val="ConsPlusTitle"/>
        <w:jc w:val="center"/>
        <w:rPr>
          <w:b w:val="false"/>
        </w:rPr>
      </w:pPr>
      <w:r>
        <w:rPr>
          <w:b w:val="false"/>
        </w:rPr>
        <w:t>и финансирование по мероприятиям программы</w:t>
      </w:r>
    </w:p>
    <w:p>
      <w:pPr>
        <w:pStyle w:val="ConsPlusNormal"/>
        <w:jc w:val="both"/>
        <w:rPr/>
      </w:pPr>
      <w:r>
        <w:rPr/>
      </w:r>
    </w:p>
    <w:tbl>
      <w:tblPr>
        <w:tblW w:w="909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3898"/>
        <w:gridCol w:w="1908"/>
        <w:gridCol w:w="1139"/>
        <w:gridCol w:w="1168"/>
        <w:gridCol w:w="980"/>
      </w:tblGrid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 xml:space="preserve">Основные индикаторы эффективности реализации </w:t>
            </w:r>
            <w:r>
              <w:rPr/>
              <w:t>п</w:t>
            </w:r>
            <w:r>
              <w:rPr/>
              <w:t>рограммы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Сроки выполнения основных мероприятий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2024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2026</w:t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Уровень коррупции в городе Набережные Челны (по данным, полученным посредством проведения социологического опроса через официальный сайт города Набережные Челны/Комитет Республики Татарстан по социально-экономическому мониторингу), %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ежегодно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35</w:t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Доля обращений граждан и организаций, сталкивающихся с проявлениями коррупции, в результате проверки которых выявлены правонарушения, от общего количества обращений, %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ежегодно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b w:val="false"/>
        </w:rPr>
      </w:pPr>
      <w:r>
        <w:rPr>
          <w:b w:val="false"/>
        </w:rPr>
        <w:t>Глава 6. Механизм реализации программы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Помощник Мэра по вопросам противодействия коррупции осуществляет функции по планированию и мониторингу реализации программы.</w:t>
      </w:r>
    </w:p>
    <w:p>
      <w:pPr>
        <w:pStyle w:val="ConsPlusNormal"/>
        <w:ind w:firstLine="540"/>
        <w:jc w:val="both"/>
        <w:rPr/>
      </w:pPr>
      <w:r>
        <w:rPr/>
        <w:t>2. Отраслевые (функциональные) и территориальные органы Исполнительного комитета:</w:t>
      </w:r>
    </w:p>
    <w:p>
      <w:pPr>
        <w:pStyle w:val="ConsPlusNormal"/>
        <w:ind w:firstLine="540"/>
        <w:jc w:val="both"/>
        <w:rPr/>
      </w:pPr>
      <w:r>
        <w:rPr/>
        <w:t>1) осуществляют планирование, организацию исполнения мероприятий  программы и контроль за их реализацией;</w:t>
      </w:r>
    </w:p>
    <w:p>
      <w:pPr>
        <w:pStyle w:val="ConsPlusNormal"/>
        <w:ind w:firstLine="540"/>
        <w:jc w:val="both"/>
        <w:rPr/>
      </w:pPr>
      <w:r>
        <w:rPr/>
        <w:t xml:space="preserve">2) обеспечивают выполнение мероприятий </w:t>
      </w:r>
      <w:r>
        <w:rPr/>
        <w:t>п</w:t>
      </w:r>
      <w:r>
        <w:rPr/>
        <w:t xml:space="preserve">рограммы </w:t>
      </w:r>
      <w:r>
        <w:rPr/>
        <w:t xml:space="preserve">в установленные </w:t>
      </w:r>
      <w:r>
        <w:rPr/>
        <w:t>срок</w:t>
      </w:r>
      <w:r>
        <w:rPr/>
        <w:t>и</w:t>
      </w:r>
      <w:r>
        <w:rPr/>
        <w:t>;</w:t>
      </w:r>
    </w:p>
    <w:p>
      <w:pPr>
        <w:pStyle w:val="ConsPlusNormal"/>
        <w:ind w:firstLine="540"/>
        <w:jc w:val="both"/>
        <w:rPr/>
      </w:pPr>
      <w:r>
        <w:rPr/>
        <w:t>3) представляют помощнику Мэра города (по вопросу противодействия коррупции) ежеквартально до 5 числа, следующего за отчетным кварталом, результаты реализации программных мероприятий;</w:t>
      </w:r>
    </w:p>
    <w:p>
      <w:pPr>
        <w:pStyle w:val="ConsPlusNormal"/>
        <w:spacing w:before="0" w:after="0"/>
        <w:ind w:firstLine="540"/>
        <w:contextualSpacing/>
        <w:jc w:val="both"/>
        <w:rPr/>
      </w:pPr>
      <w:r>
        <w:rPr/>
        <w:t>4) обеспечивают публичность (открытость) информации о значениях целевых индикаторов и показателей, результатах реализации программы и отдельных программных мероприятий.</w:t>
      </w:r>
    </w:p>
    <w:p>
      <w:pPr>
        <w:pStyle w:val="ConsPlusNormal"/>
        <w:spacing w:before="0" w:after="0"/>
        <w:ind w:firstLine="540"/>
        <w:contextualSpacing/>
        <w:jc w:val="both"/>
        <w:rPr/>
      </w:pPr>
      <w:r>
        <w:rPr/>
        <w:t>3. Анализ результативности  программы осуществляется в соответствии с Порядком разработки, реализации и оценки эффективности муниципальных программ муниципального образования город Набережные Челны, утвержденным Постановлением Исполнительного комитета от 11.09.2017 № 5326.</w:t>
      </w:r>
    </w:p>
    <w:p>
      <w:pPr>
        <w:pStyle w:val="ConsPlusNormal"/>
        <w:spacing w:before="0" w:after="0"/>
        <w:contextualSpacing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Аппарата,</w:t>
      </w:r>
    </w:p>
    <w:p>
      <w:pPr>
        <w:pStyle w:val="Normal"/>
        <w:tabs>
          <w:tab w:val="clear" w:pos="708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</w:t>
      </w:r>
    </w:p>
    <w:p>
      <w:pPr>
        <w:pStyle w:val="ConsPlusNormal"/>
        <w:jc w:val="both"/>
        <w:rPr>
          <w:b/>
        </w:rPr>
      </w:pPr>
      <w:r>
        <w:rPr/>
        <w:t>Исполнительного комитета</w:t>
        <w:tab/>
        <w:tab/>
        <w:tab/>
        <w:t xml:space="preserve">                                                Н.И. Галиева</w:t>
      </w:r>
    </w:p>
    <w:p>
      <w:pPr>
        <w:pStyle w:val="ConsPlusNormal"/>
        <w:jc w:val="both"/>
        <w:rPr/>
      </w:pPr>
      <w:r>
        <w:rPr/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sectPr>
      <w:headerReference w:type="default" r:id="rId13"/>
      <w:headerReference w:type="first" r:id="rId14"/>
      <w:footnotePr>
        <w:numFmt w:val="decimal"/>
      </w:footnotePr>
      <w:type w:val="nextPage"/>
      <w:pgSz w:w="11906" w:h="16838"/>
      <w:pgMar w:left="1134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9"/>
        <w:widowControl w:val="false"/>
        <w:ind w:firstLine="709"/>
        <w:rPr/>
      </w:pPr>
      <w:r>
        <w:rPr>
          <w:rStyle w:val="Style17"/>
        </w:rPr>
        <w:footnoteRef/>
      </w:r>
      <w:r>
        <w:rPr>
          <w:rFonts w:cs="Times New Roman" w:ascii="Times New Roman" w:hAnsi="Times New Roman"/>
          <w:bCs/>
        </w:rPr>
        <w:t>Значение показателя со знаком </w:t>
      </w:r>
      <w:r>
        <w:rPr>
          <w:rFonts w:eastAsia="" w:cs="Times New Roman" w:ascii="Times New Roman" w:hAnsi="Times New Roman" w:eastAsiaTheme="minorEastAsia"/>
          <w:lang w:eastAsia="ru-RU"/>
        </w:rPr>
        <w:t xml:space="preserve">≤ </w:t>
      </w:r>
      <w:r>
        <w:rPr>
          <w:rFonts w:cs="Times New Roman" w:ascii="Times New Roman" w:hAnsi="Times New Roman"/>
          <w:bCs/>
        </w:rPr>
        <w:t>30.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8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8"/>
                            <w:pBdr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.05pt;height:16.1pt;mso-wrap-distance-left:0pt;mso-wrap-distance-right:0pt;mso-wrap-distance-top:0pt;mso-wrap-distance-bottom:0pt;margin-top:0.05pt;mso-position-vertical-relative:text;margin-left:251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pBdr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8"/>
                            <w:pBdr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05pt;height:16.1pt;mso-wrap-distance-left:0pt;mso-wrap-distance-right:0pt;mso-wrap-distance-top:0pt;mso-wrap-distance-bottom:0pt;margin-top:0.05pt;mso-position-vertical-relative:text;margin-left:382.0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pBdr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t>16</w:t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8"/>
                            <w:pBdr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05pt;height:16.1pt;mso-wrap-distance-left:0pt;mso-wrap-distance-right:0pt;mso-wrap-distance-top:0pt;mso-wrap-distance-bottom:0pt;margin-top:0.05pt;mso-position-vertical-relative:text;margin-left:241.0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pBdr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t>18</w:t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1a0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c31a0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c31a07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50f74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сноски Знак"/>
    <w:basedOn w:val="DefaultParagraphFont"/>
    <w:uiPriority w:val="99"/>
    <w:qFormat/>
    <w:rsid w:val="00637a16"/>
    <w:rPr>
      <w:sz w:val="20"/>
      <w:szCs w:val="20"/>
    </w:rPr>
  </w:style>
  <w:style w:type="character" w:styleId="Style17">
    <w:name w:val="Символ сноски"/>
    <w:uiPriority w:val="99"/>
    <w:unhideWhenUsed/>
    <w:qFormat/>
    <w:rsid w:val="00637a16"/>
    <w:rPr>
      <w:rFonts w:ascii="Times New Roman" w:hAnsi="Times New Roman" w:cs="Times New Roman"/>
      <w:vertAlign w:val="superscript"/>
    </w:rPr>
  </w:style>
  <w:style w:type="character" w:styleId="Style18">
    <w:name w:val="Footnote Reference"/>
    <w:rPr>
      <w:rFonts w:ascii="Times New Roman" w:hAnsi="Times New Roman" w:cs="Times New Roman"/>
      <w:vertAlign w:val="superscript"/>
    </w:rPr>
  </w:style>
  <w:style w:type="character" w:styleId="-">
    <w:name w:val="Hyperlink"/>
    <w:basedOn w:val="DefaultParagraphFont"/>
    <w:uiPriority w:val="99"/>
    <w:unhideWhenUsed/>
    <w:rsid w:val="00637a16"/>
    <w:rPr>
      <w:color w:val="0563C1" w:themeColor="hyperlink"/>
      <w:u w:val="single"/>
    </w:rPr>
  </w:style>
  <w:style w:type="character" w:styleId="Style19" w:customStyle="1">
    <w:name w:val="Нижний колонтитул Знак"/>
    <w:basedOn w:val="DefaultParagraphFont"/>
    <w:uiPriority w:val="99"/>
    <w:qFormat/>
    <w:rsid w:val="006f074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>
    <w:name w:val="Endnote Reference"/>
    <w:rPr>
      <w:vertAlign w:val="superscript"/>
    </w:rPr>
  </w:style>
  <w:style w:type="character" w:styleId="Style21">
    <w:name w:val="Символ концевой сноск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Без интервала1"/>
    <w:qFormat/>
    <w:rsid w:val="00c31a07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ConsPlusNormal" w:customStyle="1">
    <w:name w:val="ConsPlusNormal"/>
    <w:qFormat/>
    <w:rsid w:val="00c31a0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4"/>
    <w:rsid w:val="00c31a0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c31a0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c31a07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50f74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b50f9a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ru-RU" w:eastAsia="en-US" w:bidi="ar-SA"/>
    </w:rPr>
  </w:style>
  <w:style w:type="paragraph" w:styleId="Style29">
    <w:name w:val="Footnote Text"/>
    <w:basedOn w:val="Normal"/>
    <w:link w:val="Style16"/>
    <w:uiPriority w:val="99"/>
    <w:unhideWhenUsed/>
    <w:rsid w:val="00637a16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Style30">
    <w:name w:val="Footer"/>
    <w:basedOn w:val="Normal"/>
    <w:link w:val="Style19"/>
    <w:uiPriority w:val="99"/>
    <w:unhideWhenUsed/>
    <w:rsid w:val="006f07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637a1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c">
    <w:name w:val="Table Grid"/>
    <w:basedOn w:val="a1"/>
    <w:uiPriority w:val="39"/>
    <w:rsid w:val="00637a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7D536EBD6BAAA9D5A83BFFB71827F5892D8E40C25829123EA772423BDACF1D4FFC70E5371A1B3EE1201D1557EE5A9ED5D3A18A0FF75F4B1CE8041h5hEL" TargetMode="External"/><Relationship Id="rId3" Type="http://schemas.openxmlformats.org/officeDocument/2006/relationships/hyperlink" Target="consultantplus://offline/ref=A7D536EBD6BAAA9D5A83BFFB71827F5892D8E40C2D869526EE747929B5F5FDD6F8C8514476E8BFEF1201D15070BAACF84C6217ABE86BF7ACD2824056hAhCL" TargetMode="External"/><Relationship Id="rId4" Type="http://schemas.openxmlformats.org/officeDocument/2006/relationships/hyperlink" Target="consultantplus://offline/ref=A7D536EBD6BAAA9D5A83BFFB71827F5892D8E40C2D849720EE7C7929B5F5FDD6F8C8514476E8BFEF1201D15070BAACF84C6217ABE86BF7ACD2824056hAhCL" TargetMode="External"/><Relationship Id="rId5" Type="http://schemas.openxmlformats.org/officeDocument/2006/relationships/hyperlink" Target="consultantplus://offline/ref=A7D536EBD6BAAA9D5A83BFFB71827F5892D8E40C2D849425EA7B7929B5F5FDD6F8C8514476E8BFEF1201D15070BAACF84C6217ABE86BF7ACD2824056hAhCL" TargetMode="External"/><Relationship Id="rId6" Type="http://schemas.openxmlformats.org/officeDocument/2006/relationships/hyperlink" Target="consultantplus://offline/ref=A7D536EBD6BAAA9D5A83BFFB71827F5892D8E40C2D859027E97D7929B5F5FDD6F8C8514476E8BFEF1201D15070BAACF84C6217ABE86BF7ACD2824056hAhCL" TargetMode="External"/><Relationship Id="rId7" Type="http://schemas.openxmlformats.org/officeDocument/2006/relationships/hyperlink" Target="consultantplus://offline/ref=02B4025F0D5F87D3C9878E276262CDF114B9217E727E97C799FD078BEE8BF38FB4F3AF55B54E5DFD47DE91C6281558C831834B8897706B2968899CTFt9H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tatarstan.ru/regulation" TargetMode="Externa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notes" Target="footnotes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LibreOffice/7.5.6.2$Linux_X86_64 LibreOffice_project/50$Build-2</Application>
  <AppVersion>15.0000</AppVersion>
  <Pages>18</Pages>
  <Words>3129</Words>
  <Characters>23802</Characters>
  <CharactersWithSpaces>26676</CharactersWithSpaces>
  <Paragraphs>487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2024-03-11T07:26:00Z</dcterms:created>
  <dc:creator>Алина Тищенко Александровна</dc:creator>
  <dc:description/>
  <dc:language>ru-RU</dc:language>
  <cp:lastModifiedBy/>
  <cp:lastPrinted>2024-03-13T10:16:09Z</cp:lastPrinted>
  <dcterms:modified xsi:type="dcterms:W3CDTF">2024-03-13T10:23:50Z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