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left="5529" w:right="-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Контактные лица для направления</w:t>
      </w:r>
    </w:p>
    <w:p>
      <w:pPr>
        <w:ind w:left="5529" w:right="-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замечаний и предложений:</w:t>
      </w:r>
    </w:p>
    <w:p>
      <w:pPr>
        <w:ind w:left="5529" w:right="-3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Асьмаева</w:t>
      </w:r>
      <w:proofErr w:type="spellEnd"/>
      <w:r>
        <w:rPr>
          <w:rFonts w:ascii="Times New Roman" w:hAnsi="Times New Roman"/>
          <w:szCs w:val="28"/>
        </w:rPr>
        <w:t xml:space="preserve"> Рамиля Джавитовна</w:t>
      </w:r>
    </w:p>
    <w:p>
      <w:pPr>
        <w:ind w:left="5529" w:right="-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Ведущий специалист</w:t>
      </w:r>
    </w:p>
    <w:p>
      <w:pPr>
        <w:ind w:left="5529" w:right="-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Телефон: +7 (843) 292-21-81</w:t>
      </w:r>
    </w:p>
    <w:p>
      <w:pPr>
        <w:ind w:left="5529" w:right="-3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Email</w:t>
      </w:r>
      <w:proofErr w:type="spellEnd"/>
      <w:r>
        <w:rPr>
          <w:rFonts w:ascii="Times New Roman" w:hAnsi="Times New Roman"/>
          <w:szCs w:val="28"/>
        </w:rPr>
        <w:t>: ramilya.asmaeva@tatarstan.ru</w:t>
      </w:r>
    </w:p>
    <w:p>
      <w:pPr>
        <w:ind w:left="5529" w:right="-3"/>
        <w:rPr>
          <w:rFonts w:ascii="Times New Roman" w:hAnsi="Times New Roman"/>
          <w:szCs w:val="28"/>
        </w:rPr>
      </w:pPr>
    </w:p>
    <w:p>
      <w:pPr>
        <w:ind w:left="5529" w:right="-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Калимуллин Ильнар Ирекович</w:t>
      </w:r>
    </w:p>
    <w:p>
      <w:pPr>
        <w:ind w:left="5529" w:right="-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Начальник юридического отдела</w:t>
      </w:r>
    </w:p>
    <w:p>
      <w:pPr>
        <w:ind w:left="5529" w:right="-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Телефон: +7 (843) 221-76-14</w:t>
      </w:r>
    </w:p>
    <w:p>
      <w:pPr>
        <w:ind w:left="5529" w:right="-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en-US"/>
        </w:rPr>
        <w:t>E</w:t>
      </w:r>
      <w:r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  <w:lang w:val="en-US"/>
        </w:rPr>
        <w:t>mail</w:t>
      </w:r>
      <w:r>
        <w:rPr>
          <w:rFonts w:ascii="Times New Roman" w:hAnsi="Times New Roman"/>
          <w:szCs w:val="28"/>
        </w:rPr>
        <w:t xml:space="preserve">: </w:t>
      </w:r>
      <w:r>
        <w:rPr>
          <w:rFonts w:ascii="Times New Roman" w:hAnsi="Times New Roman"/>
          <w:szCs w:val="28"/>
          <w:lang w:val="en-US"/>
        </w:rPr>
        <w:t>Ilnar</w:t>
      </w:r>
      <w:r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  <w:lang w:val="en-US"/>
        </w:rPr>
        <w:t>Kalimullin</w:t>
      </w:r>
      <w:r>
        <w:rPr>
          <w:rFonts w:ascii="Times New Roman" w:hAnsi="Times New Roman"/>
          <w:szCs w:val="28"/>
        </w:rPr>
        <w:t>@</w:t>
      </w:r>
      <w:proofErr w:type="spellStart"/>
      <w:r>
        <w:rPr>
          <w:rFonts w:ascii="Times New Roman" w:hAnsi="Times New Roman"/>
          <w:szCs w:val="28"/>
          <w:lang w:val="en-US"/>
        </w:rPr>
        <w:t>tatar</w:t>
      </w:r>
      <w:proofErr w:type="spellEnd"/>
      <w:r>
        <w:rPr>
          <w:rFonts w:ascii="Times New Roman" w:hAnsi="Times New Roman"/>
          <w:szCs w:val="28"/>
        </w:rPr>
        <w:t>.</w:t>
      </w:r>
      <w:proofErr w:type="spellStart"/>
      <w:r>
        <w:rPr>
          <w:rFonts w:ascii="Times New Roman" w:hAnsi="Times New Roman"/>
          <w:szCs w:val="28"/>
          <w:lang w:val="en-US"/>
        </w:rPr>
        <w:t>ru</w:t>
      </w:r>
      <w:proofErr w:type="spellEnd"/>
    </w:p>
    <w:p>
      <w:pPr>
        <w:ind w:left="5529" w:right="-3"/>
        <w:rPr>
          <w:rFonts w:ascii="Times New Roman" w:hAnsi="Times New Roman"/>
          <w:szCs w:val="28"/>
        </w:rPr>
      </w:pPr>
    </w:p>
    <w:p>
      <w:pPr>
        <w:ind w:right="6236"/>
        <w:rPr>
          <w:rFonts w:ascii="Times New Roman" w:hAnsi="Times New Roman"/>
          <w:i/>
        </w:rPr>
      </w:pPr>
      <w:bookmarkStart w:id="0" w:name="_GoBack"/>
      <w:bookmarkEnd w:id="0"/>
      <w:r>
        <w:rPr>
          <w:rFonts w:ascii="Times New Roman" w:hAnsi="Times New Roman"/>
        </w:rPr>
        <w:t xml:space="preserve">О внесении изменений в приказ Министерства сельского хозяйства и продовольствия Республики Татарстан </w:t>
      </w:r>
      <w:bookmarkStart w:id="1" w:name="_Hlk165900245"/>
      <w:r>
        <w:rPr>
          <w:rFonts w:ascii="Times New Roman" w:hAnsi="Times New Roman"/>
        </w:rPr>
        <w:t xml:space="preserve">от 13.10.2023 № 384/2-пр                                «О </w:t>
      </w:r>
      <w:r>
        <w:rPr>
          <w:rFonts w:ascii="Times New Roman" w:hAnsi="Times New Roman" w:hint="eastAsia"/>
        </w:rPr>
        <w:t>Комиссии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Министерства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сельского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хозяйства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продовольствия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Республики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Татарстан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по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соблюдению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требований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служебному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поведению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государственных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гражданских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служащих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урегулированию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конфликта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интересов</w:t>
      </w:r>
      <w:r>
        <w:rPr>
          <w:rFonts w:ascii="Times New Roman" w:hAnsi="Times New Roman"/>
        </w:rPr>
        <w:t>»</w:t>
      </w:r>
      <w:bookmarkEnd w:id="1"/>
      <w:r>
        <w:rPr>
          <w:rFonts w:ascii="Times New Roman" w:hAnsi="Times New Roman"/>
        </w:rPr>
        <w:t xml:space="preserve"> </w:t>
      </w:r>
    </w:p>
    <w:p>
      <w:pPr>
        <w:rPr>
          <w:rFonts w:ascii="Times New Roman" w:hAnsi="Times New Roman"/>
        </w:rPr>
      </w:pP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Указом Президента Российской Федерации от 25 января 2024 года № 71 «О внесении изменений в некоторые акты Президента Российской Федерации», а также в связи с кадровыми изменениями п р и </w:t>
      </w:r>
      <w:proofErr w:type="gramStart"/>
      <w:r>
        <w:rPr>
          <w:rFonts w:ascii="Times New Roman" w:hAnsi="Times New Roman"/>
        </w:rPr>
        <w:t>к</w:t>
      </w:r>
      <w:proofErr w:type="gramEnd"/>
      <w:r>
        <w:rPr>
          <w:rFonts w:ascii="Times New Roman" w:hAnsi="Times New Roman"/>
        </w:rPr>
        <w:t xml:space="preserve"> а з ы в а ю: 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внести в приказ Министерства сельского хозяйства и продовольствия Республики Татарстан от 13.10.2023 № 384/2-пр «</w:t>
      </w:r>
      <w:bookmarkStart w:id="2" w:name="_Hlk165900885"/>
      <w:r>
        <w:rPr>
          <w:rFonts w:ascii="Times New Roman" w:hAnsi="Times New Roman"/>
        </w:rPr>
        <w:t xml:space="preserve">О </w:t>
      </w:r>
      <w:r>
        <w:rPr>
          <w:rFonts w:ascii="Times New Roman" w:hAnsi="Times New Roman" w:hint="eastAsia"/>
        </w:rPr>
        <w:t>Комиссии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Министерства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сельского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хозяйства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продовольствия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Республики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Татарстан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по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соблюдению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требований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служебному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поведению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государственных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гражданских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служащих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урегулированию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конфликта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интересов</w:t>
      </w:r>
      <w:bookmarkEnd w:id="2"/>
      <w:r>
        <w:rPr>
          <w:rFonts w:ascii="Times New Roman" w:hAnsi="Times New Roman"/>
        </w:rPr>
        <w:t>» следующие изменения:</w:t>
      </w:r>
    </w:p>
    <w:p>
      <w:pPr>
        <w:tabs>
          <w:tab w:val="left" w:pos="709"/>
          <w:tab w:val="left" w:pos="1134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в Положении о </w:t>
      </w:r>
      <w:r>
        <w:rPr>
          <w:rFonts w:ascii="Times New Roman" w:hAnsi="Times New Roman" w:hint="eastAsia"/>
        </w:rPr>
        <w:t>Комиссии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Министерства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сельского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хозяйства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продовольствия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Республики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Татарстан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по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соблюдению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требований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служебному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поведению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государственных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гражданских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служащих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урегулированию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конфликта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интересов</w:t>
      </w:r>
      <w:r>
        <w:rPr>
          <w:rFonts w:ascii="Times New Roman" w:hAnsi="Times New Roman"/>
        </w:rPr>
        <w:t xml:space="preserve">, </w:t>
      </w:r>
      <w:bookmarkStart w:id="3" w:name="_Hlk165928172"/>
      <w:r>
        <w:rPr>
          <w:rFonts w:ascii="Times New Roman" w:hAnsi="Times New Roman"/>
        </w:rPr>
        <w:t>утвержденном указанным приказом:</w:t>
      </w:r>
    </w:p>
    <w:bookmarkEnd w:id="3"/>
    <w:p>
      <w:pPr>
        <w:pStyle w:val="ad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абзац второй пункта 1.3 изложить в следующей редакции:</w:t>
      </w:r>
    </w:p>
    <w:p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«в обеспечении соблюдения </w:t>
      </w:r>
      <w:r>
        <w:rPr>
          <w:rFonts w:ascii="Times New Roman" w:hAnsi="Times New Roman"/>
          <w:color w:val="auto"/>
          <w:szCs w:val="28"/>
        </w:rPr>
        <w:t>государственными гражданскими служащими Республики Татарстан (далее – государственные служащие) в Министерстве</w:t>
      </w:r>
      <w:r>
        <w:rPr>
          <w:rFonts w:ascii="Times New Roman" w:hAnsi="Times New Roman"/>
          <w:szCs w:val="28"/>
        </w:rPr>
        <w:t xml:space="preserve">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6" w:history="1">
        <w:r>
          <w:rPr>
            <w:rStyle w:val="af1"/>
            <w:rFonts w:ascii="Times New Roman" w:hAnsi="Times New Roman"/>
            <w:color w:val="auto"/>
            <w:szCs w:val="28"/>
            <w:u w:val="none"/>
          </w:rPr>
          <w:t>законом</w:t>
        </w:r>
      </w:hyperlink>
      <w:r>
        <w:rPr>
          <w:rFonts w:ascii="Times New Roman" w:hAnsi="Times New Roman"/>
          <w:color w:val="auto"/>
          <w:szCs w:val="28"/>
        </w:rPr>
        <w:t xml:space="preserve"> от 2</w:t>
      </w:r>
      <w:r>
        <w:rPr>
          <w:rFonts w:ascii="Times New Roman" w:hAnsi="Times New Roman"/>
          <w:szCs w:val="28"/>
        </w:rPr>
        <w:t xml:space="preserve">5 декабря 2008 года № 273-ФЗ «О противодействии коррупции» (далее – </w:t>
      </w:r>
      <w:r>
        <w:rPr>
          <w:rFonts w:ascii="Times New Roman" w:hAnsi="Times New Roman"/>
          <w:szCs w:val="28"/>
        </w:rPr>
        <w:lastRenderedPageBreak/>
        <w:t>Федеральный закон «О противодействии коррупции»), другими федеральными законами в целях противодействия коррупции (далее – требования к служебному поведению и (или) требования об урегулировании конфликта интересов);»;</w:t>
      </w:r>
    </w:p>
    <w:p>
      <w:pPr>
        <w:ind w:firstLine="709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пункт 3.1 дополнить подпунктом «е» следующего содержания:</w:t>
      </w:r>
    </w:p>
    <w:p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интересов.»;</w:t>
      </w:r>
    </w:p>
    <w:p>
      <w:pPr>
        <w:pStyle w:val="ad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3.4.1 изложить в следующей редакции:</w:t>
      </w:r>
    </w:p>
    <w:p>
      <w:pPr>
        <w:pStyle w:val="af0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«3.4.1. Уведомления, указанные в абзаце пятом подпункта «б» и подпункте «е» пункта 3.1 настоящего Положения, рассматриваются ответственным лицом за работу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уведомлений.»;</w:t>
      </w:r>
    </w:p>
    <w:p>
      <w:pPr>
        <w:pStyle w:val="ad"/>
        <w:ind w:left="0"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 xml:space="preserve">в пункте 3.4.2 слова </w:t>
      </w:r>
      <w:r>
        <w:rPr>
          <w:rFonts w:ascii="Times New Roman" w:hAnsi="Times New Roman"/>
          <w:color w:val="auto"/>
        </w:rPr>
        <w:t>«</w:t>
      </w:r>
      <w:hyperlink r:id="rId7" w:history="1">
        <w:r>
          <w:rPr>
            <w:rStyle w:val="af1"/>
            <w:rFonts w:ascii="Times New Roman" w:hAnsi="Times New Roman"/>
            <w:color w:val="auto"/>
            <w:u w:val="none"/>
          </w:rPr>
          <w:t>подпункте «д» пункта 3.1</w:t>
        </w:r>
      </w:hyperlink>
      <w:r>
        <w:rPr>
          <w:rFonts w:ascii="Times New Roman" w:hAnsi="Times New Roman"/>
          <w:color w:val="auto"/>
        </w:rPr>
        <w:t xml:space="preserve">» </w:t>
      </w:r>
      <w:r>
        <w:rPr>
          <w:rFonts w:ascii="Times New Roman" w:hAnsi="Times New Roman"/>
        </w:rPr>
        <w:t>заменить словами «</w:t>
      </w:r>
      <w:hyperlink r:id="rId8" w:history="1">
        <w:r>
          <w:rPr>
            <w:rStyle w:val="af1"/>
            <w:rFonts w:ascii="Times New Roman" w:hAnsi="Times New Roman"/>
            <w:color w:val="auto"/>
            <w:u w:val="none"/>
          </w:rPr>
          <w:t>подпунктах «д» и «е» пункта 3.1</w:t>
        </w:r>
      </w:hyperlink>
      <w:r>
        <w:rPr>
          <w:rFonts w:ascii="Times New Roman" w:hAnsi="Times New Roman"/>
          <w:color w:val="auto"/>
        </w:rPr>
        <w:t>»;</w:t>
      </w:r>
    </w:p>
    <w:p>
      <w:pPr>
        <w:pStyle w:val="ad"/>
        <w:ind w:left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в пункте 3.4.3:</w:t>
      </w:r>
    </w:p>
    <w:p>
      <w:pPr>
        <w:pStyle w:val="ad"/>
        <w:ind w:left="0"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в подпункте «а» </w:t>
      </w:r>
      <w:r>
        <w:rPr>
          <w:rFonts w:ascii="Times New Roman" w:hAnsi="Times New Roman"/>
        </w:rPr>
        <w:t xml:space="preserve">слова </w:t>
      </w:r>
      <w:r>
        <w:rPr>
          <w:rFonts w:ascii="Times New Roman" w:hAnsi="Times New Roman"/>
          <w:color w:val="auto"/>
        </w:rPr>
        <w:t>«</w:t>
      </w:r>
      <w:hyperlink r:id="rId9" w:history="1">
        <w:r>
          <w:rPr>
            <w:rStyle w:val="af1"/>
            <w:rFonts w:ascii="Times New Roman" w:hAnsi="Times New Roman"/>
            <w:color w:val="auto"/>
            <w:u w:val="none"/>
          </w:rPr>
          <w:t>подпункте «д» пункта 3.1</w:t>
        </w:r>
      </w:hyperlink>
      <w:r>
        <w:rPr>
          <w:rFonts w:ascii="Times New Roman" w:hAnsi="Times New Roman"/>
          <w:color w:val="auto"/>
        </w:rPr>
        <w:t xml:space="preserve">» </w:t>
      </w:r>
      <w:r>
        <w:rPr>
          <w:rFonts w:ascii="Times New Roman" w:hAnsi="Times New Roman"/>
        </w:rPr>
        <w:t>заменить словами «</w:t>
      </w:r>
      <w:hyperlink r:id="rId10" w:history="1">
        <w:r>
          <w:rPr>
            <w:rStyle w:val="af1"/>
            <w:rFonts w:ascii="Times New Roman" w:hAnsi="Times New Roman"/>
            <w:color w:val="auto"/>
            <w:u w:val="none"/>
          </w:rPr>
          <w:t>подпунктах «д» и «е» пункта 3.1</w:t>
        </w:r>
      </w:hyperlink>
      <w:r>
        <w:rPr>
          <w:rFonts w:ascii="Times New Roman" w:hAnsi="Times New Roman"/>
          <w:color w:val="auto"/>
        </w:rPr>
        <w:t>»;</w:t>
      </w:r>
    </w:p>
    <w:p>
      <w:pPr>
        <w:pStyle w:val="ad"/>
        <w:ind w:left="0"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подпункт «в» изложить в следующей редакции:</w:t>
      </w:r>
    </w:p>
    <w:p>
      <w:pPr>
        <w:pStyle w:val="ad"/>
        <w:ind w:left="0" w:firstLine="720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«в) мотивированный вывод по результатам предварительного рассмотрения обращений и уведомлений, указанных в абзацах втором и пятом подпункта «б», подпунктах «д» и «е» пункта 3.1 настоящего Положения, а также рекомендации для принятия одного из решений в соответствии с пунктами 3.13, 3.15.1, 3.15.2, 3.18 настоящего Положения или иного решения.»;</w:t>
      </w:r>
    </w:p>
    <w:p>
      <w:pPr>
        <w:pStyle w:val="ad"/>
        <w:ind w:left="0" w:firstLine="720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подпункт 3.7 изложить в следующей редакции:</w:t>
      </w:r>
    </w:p>
    <w:p>
      <w:pPr>
        <w:pStyle w:val="ad"/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«3.7. Уведомления, указанные в подпунктах «д» и «е» пункта 3.1 настоящего Положения, как правило, рассматривается на очередном (плановом) заседании Комиссии.»;</w:t>
      </w:r>
    </w:p>
    <w:p>
      <w:pPr>
        <w:pStyle w:val="ad"/>
        <w:ind w:left="0"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 xml:space="preserve">в пункте 3.8 слова </w:t>
      </w:r>
      <w:r>
        <w:rPr>
          <w:rFonts w:ascii="Times New Roman" w:hAnsi="Times New Roman"/>
          <w:color w:val="auto"/>
        </w:rPr>
        <w:t>«</w:t>
      </w:r>
      <w:hyperlink r:id="rId11" w:history="1">
        <w:r>
          <w:rPr>
            <w:rStyle w:val="af1"/>
            <w:rFonts w:ascii="Times New Roman" w:hAnsi="Times New Roman"/>
            <w:color w:val="auto"/>
            <w:u w:val="none"/>
          </w:rPr>
          <w:t>подпунктом «б» пункта 3.1</w:t>
        </w:r>
      </w:hyperlink>
      <w:r>
        <w:rPr>
          <w:rFonts w:ascii="Times New Roman" w:hAnsi="Times New Roman"/>
          <w:color w:val="auto"/>
        </w:rPr>
        <w:t xml:space="preserve">» </w:t>
      </w:r>
      <w:r>
        <w:rPr>
          <w:rFonts w:ascii="Times New Roman" w:hAnsi="Times New Roman"/>
        </w:rPr>
        <w:t>заменить словами «</w:t>
      </w:r>
      <w:hyperlink r:id="rId12" w:history="1">
        <w:r>
          <w:rPr>
            <w:rStyle w:val="af1"/>
            <w:rFonts w:ascii="Times New Roman" w:hAnsi="Times New Roman"/>
            <w:color w:val="auto"/>
            <w:u w:val="none"/>
          </w:rPr>
          <w:t>подпунктами «б» и «е» пункта 3.1</w:t>
        </w:r>
      </w:hyperlink>
      <w:r>
        <w:rPr>
          <w:rFonts w:ascii="Times New Roman" w:hAnsi="Times New Roman"/>
          <w:color w:val="auto"/>
        </w:rPr>
        <w:t>»;</w:t>
      </w:r>
    </w:p>
    <w:p>
      <w:pPr>
        <w:pStyle w:val="ad"/>
        <w:ind w:left="0"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 xml:space="preserve">в подпункте «а» пункта 3.8.1 слова </w:t>
      </w:r>
      <w:r>
        <w:rPr>
          <w:rFonts w:ascii="Times New Roman" w:hAnsi="Times New Roman"/>
          <w:color w:val="auto"/>
        </w:rPr>
        <w:t>«</w:t>
      </w:r>
      <w:hyperlink r:id="rId13" w:history="1">
        <w:r>
          <w:rPr>
            <w:rStyle w:val="af1"/>
            <w:rFonts w:ascii="Times New Roman" w:hAnsi="Times New Roman"/>
            <w:color w:val="auto"/>
            <w:u w:val="none"/>
          </w:rPr>
          <w:t>подпунктом «б» пункта 3.1</w:t>
        </w:r>
      </w:hyperlink>
      <w:r>
        <w:rPr>
          <w:rFonts w:ascii="Times New Roman" w:hAnsi="Times New Roman"/>
          <w:color w:val="auto"/>
        </w:rPr>
        <w:t xml:space="preserve">» </w:t>
      </w:r>
      <w:r>
        <w:rPr>
          <w:rFonts w:ascii="Times New Roman" w:hAnsi="Times New Roman"/>
        </w:rPr>
        <w:t>заменить словами «</w:t>
      </w:r>
      <w:hyperlink r:id="rId14" w:history="1">
        <w:r>
          <w:rPr>
            <w:rStyle w:val="af1"/>
            <w:rFonts w:ascii="Times New Roman" w:hAnsi="Times New Roman"/>
            <w:color w:val="auto"/>
            <w:u w:val="none"/>
          </w:rPr>
          <w:t>подпунктами «б» и «е» пункта 3.1</w:t>
        </w:r>
      </w:hyperlink>
      <w:r>
        <w:rPr>
          <w:rFonts w:ascii="Times New Roman" w:hAnsi="Times New Roman"/>
          <w:color w:val="auto"/>
        </w:rPr>
        <w:t>»;</w:t>
      </w:r>
    </w:p>
    <w:p>
      <w:pPr>
        <w:pStyle w:val="ad"/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дополнить пунктом 3.15.2 следующего содержания:</w:t>
      </w:r>
    </w:p>
    <w:p>
      <w:pPr>
        <w:pStyle w:val="ad"/>
        <w:ind w:left="0"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«3.15.2 По итогам рассмотрения вопроса, указанного в подпункте «е» пункта 3.1 настоящего Положения, Комиссия принимает одно из следующих решений:</w:t>
      </w:r>
    </w:p>
    <w:p>
      <w:pPr>
        <w:pStyle w:val="ad"/>
        <w:ind w:left="0"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 </w:t>
      </w:r>
    </w:p>
    <w:p>
      <w:pPr>
        <w:pStyle w:val="ad"/>
        <w:ind w:left="0"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интересов.»; </w:t>
      </w:r>
    </w:p>
    <w:p>
      <w:pPr>
        <w:pStyle w:val="ad"/>
        <w:ind w:left="0" w:firstLine="720"/>
        <w:rPr>
          <w:rFonts w:ascii="Times New Roman" w:hAnsi="Times New Roman"/>
          <w:color w:val="auto"/>
        </w:rPr>
      </w:pPr>
      <w:r>
        <w:rPr>
          <w:rFonts w:ascii="Times New Roman" w:hAnsi="Times New Roman"/>
          <w:szCs w:val="28"/>
        </w:rPr>
        <w:t>пункт 3.19 изложить в следующей редакции:</w:t>
      </w:r>
    </w:p>
    <w:p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«3.19. По итогам рассмотрения вопросов, указанных в </w:t>
      </w:r>
      <w:hyperlink r:id="rId15" w:history="1">
        <w:r>
          <w:rPr>
            <w:rStyle w:val="af1"/>
            <w:color w:val="auto"/>
            <w:sz w:val="28"/>
            <w:szCs w:val="28"/>
            <w:u w:val="none"/>
          </w:rPr>
          <w:t>подпунктах «а»</w:t>
        </w:r>
      </w:hyperlink>
      <w:r>
        <w:rPr>
          <w:sz w:val="28"/>
          <w:szCs w:val="28"/>
        </w:rPr>
        <w:t xml:space="preserve">, </w:t>
      </w:r>
      <w:hyperlink r:id="rId16" w:history="1">
        <w:r>
          <w:rPr>
            <w:rStyle w:val="af1"/>
            <w:color w:val="auto"/>
            <w:sz w:val="28"/>
            <w:szCs w:val="28"/>
            <w:u w:val="none"/>
          </w:rPr>
          <w:t>«б»</w:t>
        </w:r>
      </w:hyperlink>
      <w:r>
        <w:rPr>
          <w:sz w:val="28"/>
          <w:szCs w:val="28"/>
        </w:rPr>
        <w:t xml:space="preserve">, </w:t>
      </w:r>
      <w:hyperlink r:id="rId17" w:history="1">
        <w:r>
          <w:rPr>
            <w:rStyle w:val="af1"/>
            <w:color w:val="auto"/>
            <w:sz w:val="28"/>
            <w:szCs w:val="28"/>
            <w:u w:val="none"/>
          </w:rPr>
          <w:t>«г»</w:t>
        </w:r>
      </w:hyperlink>
      <w:r>
        <w:rPr>
          <w:sz w:val="28"/>
          <w:szCs w:val="28"/>
        </w:rPr>
        <w:t xml:space="preserve">, </w:t>
      </w:r>
      <w:hyperlink r:id="rId18" w:history="1">
        <w:r>
          <w:rPr>
            <w:rStyle w:val="af1"/>
            <w:color w:val="auto"/>
            <w:sz w:val="28"/>
            <w:szCs w:val="28"/>
            <w:u w:val="none"/>
          </w:rPr>
          <w:t>«д» и «е» пункта 3.1</w:t>
        </w:r>
      </w:hyperlink>
      <w:r>
        <w:rPr>
          <w:sz w:val="28"/>
          <w:szCs w:val="28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r:id="rId19" w:history="1">
        <w:r>
          <w:rPr>
            <w:rStyle w:val="af1"/>
            <w:color w:val="auto"/>
            <w:sz w:val="28"/>
            <w:szCs w:val="28"/>
            <w:u w:val="none"/>
          </w:rPr>
          <w:t>пунктами 3.11</w:t>
        </w:r>
      </w:hyperlink>
      <w:r>
        <w:rPr>
          <w:sz w:val="28"/>
          <w:szCs w:val="28"/>
        </w:rPr>
        <w:t xml:space="preserve"> - </w:t>
      </w:r>
      <w:hyperlink r:id="rId20" w:history="1">
        <w:r>
          <w:rPr>
            <w:rStyle w:val="af1"/>
            <w:color w:val="auto"/>
            <w:sz w:val="28"/>
            <w:szCs w:val="28"/>
            <w:u w:val="none"/>
          </w:rPr>
          <w:t>3.15.2</w:t>
        </w:r>
      </w:hyperlink>
      <w:r>
        <w:rPr>
          <w:sz w:val="28"/>
          <w:szCs w:val="28"/>
        </w:rPr>
        <w:t xml:space="preserve">, </w:t>
      </w:r>
      <w:hyperlink r:id="rId21" w:history="1">
        <w:r>
          <w:rPr>
            <w:rStyle w:val="af1"/>
            <w:color w:val="auto"/>
            <w:sz w:val="28"/>
            <w:szCs w:val="28"/>
            <w:u w:val="none"/>
          </w:rPr>
          <w:t>3.17</w:t>
        </w:r>
      </w:hyperlink>
      <w:r>
        <w:rPr>
          <w:sz w:val="28"/>
          <w:szCs w:val="28"/>
        </w:rPr>
        <w:t xml:space="preserve">, </w:t>
      </w:r>
      <w:hyperlink r:id="rId22" w:history="1">
        <w:r>
          <w:rPr>
            <w:rStyle w:val="af1"/>
            <w:color w:val="auto"/>
            <w:sz w:val="28"/>
            <w:szCs w:val="28"/>
            <w:u w:val="none"/>
          </w:rPr>
          <w:t>3.18</w:t>
        </w:r>
      </w:hyperlink>
      <w:r>
        <w:rPr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Комиссии.»;</w:t>
      </w:r>
    </w:p>
    <w:p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составе Комиссии Министерства сельского хозяйства и продовольствия Республики Татарстан по соблюдению требований к служебному поведению государственных гражданских служащих и урегулированию конфликта интересов, утвержденном указанным приказом:</w:t>
      </w:r>
    </w:p>
    <w:p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Ибрагимова Рената </w:t>
      </w:r>
      <w:proofErr w:type="spellStart"/>
      <w:r>
        <w:rPr>
          <w:sz w:val="28"/>
          <w:szCs w:val="28"/>
        </w:rPr>
        <w:t>Рашитовича</w:t>
      </w:r>
      <w:proofErr w:type="spellEnd"/>
      <w:r>
        <w:rPr>
          <w:sz w:val="28"/>
          <w:szCs w:val="28"/>
        </w:rPr>
        <w:t xml:space="preserve"> и Шувалову </w:t>
      </w:r>
      <w:proofErr w:type="spellStart"/>
      <w:r>
        <w:rPr>
          <w:sz w:val="28"/>
          <w:szCs w:val="28"/>
        </w:rPr>
        <w:t>Диляру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Данияловну</w:t>
      </w:r>
      <w:proofErr w:type="spellEnd"/>
      <w:r>
        <w:rPr>
          <w:sz w:val="28"/>
          <w:szCs w:val="28"/>
        </w:rPr>
        <w:t>;</w:t>
      </w:r>
    </w:p>
    <w:p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ввести:</w:t>
      </w:r>
    </w:p>
    <w:p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Галимзянова</w:t>
      </w:r>
      <w:proofErr w:type="spellEnd"/>
      <w:r>
        <w:rPr>
          <w:sz w:val="28"/>
          <w:szCs w:val="28"/>
        </w:rPr>
        <w:t xml:space="preserve"> Алмаза </w:t>
      </w:r>
      <w:proofErr w:type="spellStart"/>
      <w:r>
        <w:rPr>
          <w:sz w:val="28"/>
          <w:szCs w:val="28"/>
        </w:rPr>
        <w:t>Ильдусовича</w:t>
      </w:r>
      <w:proofErr w:type="spellEnd"/>
      <w:r>
        <w:rPr>
          <w:sz w:val="28"/>
          <w:szCs w:val="28"/>
        </w:rPr>
        <w:t xml:space="preserve"> – начальника отдела аудита и антикоррупционной работы Министерства сельского хозяйства и продовольствия Республики Татарстан;</w:t>
      </w:r>
    </w:p>
    <w:p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Загидуллину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Миляушу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Мударисовну</w:t>
      </w:r>
      <w:proofErr w:type="spellEnd"/>
      <w:r>
        <w:rPr>
          <w:sz w:val="28"/>
          <w:szCs w:val="28"/>
        </w:rPr>
        <w:t xml:space="preserve"> – председателя Региональной общественной организации «Аграрное молодежное объединение Республики Татарстан» (по согласованию).</w:t>
      </w:r>
    </w:p>
    <w:p>
      <w:pPr>
        <w:tabs>
          <w:tab w:val="left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Премьер-министра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Республики Татарстан – министр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  <w:proofErr w:type="spellStart"/>
      <w:r>
        <w:rPr>
          <w:rFonts w:ascii="Times New Roman" w:hAnsi="Times New Roman"/>
        </w:rPr>
        <w:t>М.А.Зяббаров</w:t>
      </w:r>
      <w:proofErr w:type="spellEnd"/>
    </w:p>
    <w:sectPr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D484C"/>
    <w:multiLevelType w:val="hybridMultilevel"/>
    <w:tmpl w:val="CF4EA30A"/>
    <w:lvl w:ilvl="0" w:tplc="F9303A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BD432C"/>
    <w:multiLevelType w:val="hybridMultilevel"/>
    <w:tmpl w:val="7AC08CC2"/>
    <w:lvl w:ilvl="0" w:tplc="F9303A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2C85DB-3BC9-417B-878F-6646D8B4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b/>
      <w:sz w:val="28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qFormat/>
    <w:rPr>
      <w:rFonts w:ascii="XO Thames" w:hAnsi="XO Thames"/>
      <w:sz w:val="28"/>
    </w:rPr>
  </w:style>
  <w:style w:type="character" w:customStyle="1" w:styleId="20">
    <w:name w:val="Оглавление 2 Знак"/>
    <w:qFormat/>
    <w:rPr>
      <w:sz w:val="28"/>
    </w:rPr>
  </w:style>
  <w:style w:type="character" w:customStyle="1" w:styleId="40">
    <w:name w:val="Оглавление 4 Знак"/>
    <w:qFormat/>
    <w:rPr>
      <w:sz w:val="28"/>
    </w:rPr>
  </w:style>
  <w:style w:type="character" w:customStyle="1" w:styleId="6">
    <w:name w:val="Оглавление 6 Знак"/>
    <w:qFormat/>
    <w:rPr>
      <w:sz w:val="28"/>
    </w:rPr>
  </w:style>
  <w:style w:type="character" w:customStyle="1" w:styleId="7">
    <w:name w:val="Оглавление 7 Знак"/>
    <w:qFormat/>
    <w:rPr>
      <w:sz w:val="28"/>
    </w:rPr>
  </w:style>
  <w:style w:type="character" w:customStyle="1" w:styleId="a3">
    <w:name w:val="Текст выноски Знак"/>
    <w:basedOn w:val="10"/>
    <w:qFormat/>
    <w:rPr>
      <w:rFonts w:ascii="Segoe UI" w:hAnsi="Segoe UI"/>
      <w:sz w:val="18"/>
    </w:rPr>
  </w:style>
  <w:style w:type="character" w:customStyle="1" w:styleId="30">
    <w:name w:val="Заголовок 3 Знак"/>
    <w:qFormat/>
    <w:rPr>
      <w:b/>
      <w:sz w:val="26"/>
    </w:rPr>
  </w:style>
  <w:style w:type="character" w:customStyle="1" w:styleId="a4">
    <w:name w:val="Абзац списка Знак"/>
    <w:basedOn w:val="10"/>
    <w:qFormat/>
    <w:rPr>
      <w:rFonts w:ascii="XO Thames" w:hAnsi="XO Thames"/>
      <w:sz w:val="28"/>
    </w:rPr>
  </w:style>
  <w:style w:type="character" w:customStyle="1" w:styleId="31">
    <w:name w:val="Оглавление 3 Знак"/>
    <w:link w:val="32"/>
    <w:qFormat/>
    <w:rPr>
      <w:sz w:val="28"/>
    </w:rPr>
  </w:style>
  <w:style w:type="character" w:customStyle="1" w:styleId="50">
    <w:name w:val="Заголовок 5 Знак"/>
    <w:qFormat/>
    <w:rPr>
      <w:b/>
      <w:sz w:val="22"/>
    </w:rPr>
  </w:style>
  <w:style w:type="character" w:customStyle="1" w:styleId="11">
    <w:name w:val="Заголовок 1 Знак"/>
    <w:qFormat/>
    <w:rPr>
      <w:b/>
      <w:sz w:val="32"/>
    </w:rPr>
  </w:style>
  <w:style w:type="character" w:customStyle="1" w:styleId="-">
    <w:name w:val="Интернет-ссылка"/>
    <w:link w:val="12"/>
    <w:rPr>
      <w:color w:val="0000FF"/>
      <w:u w:val="single"/>
    </w:rPr>
  </w:style>
  <w:style w:type="character" w:customStyle="1" w:styleId="Footnote">
    <w:name w:val="Footnote"/>
    <w:qFormat/>
    <w:rPr>
      <w:sz w:val="22"/>
    </w:rPr>
  </w:style>
  <w:style w:type="character" w:customStyle="1" w:styleId="13">
    <w:name w:val="Оглавление 1 Знак"/>
    <w:link w:val="14"/>
    <w:qFormat/>
    <w:rPr>
      <w:b/>
      <w:sz w:val="28"/>
    </w:rPr>
  </w:style>
  <w:style w:type="character" w:customStyle="1" w:styleId="HeaderandFooter">
    <w:name w:val="Header and Footer"/>
    <w:qFormat/>
    <w:rPr>
      <w:sz w:val="20"/>
    </w:rPr>
  </w:style>
  <w:style w:type="character" w:customStyle="1" w:styleId="9">
    <w:name w:val="Оглавление 9 Знак"/>
    <w:qFormat/>
    <w:rPr>
      <w:sz w:val="28"/>
    </w:rPr>
  </w:style>
  <w:style w:type="character" w:customStyle="1" w:styleId="110">
    <w:name w:val="Оглавление 1 Знак1"/>
    <w:link w:val="15"/>
    <w:qFormat/>
    <w:rPr>
      <w:color w:val="0000FF"/>
      <w:u w:val="single"/>
    </w:rPr>
  </w:style>
  <w:style w:type="character" w:customStyle="1" w:styleId="8">
    <w:name w:val="Оглавление 8 Знак"/>
    <w:qFormat/>
    <w:rPr>
      <w:sz w:val="28"/>
    </w:rPr>
  </w:style>
  <w:style w:type="character" w:customStyle="1" w:styleId="51">
    <w:name w:val="Оглавление 5 Знак"/>
    <w:link w:val="52"/>
    <w:qFormat/>
    <w:rPr>
      <w:sz w:val="28"/>
    </w:rPr>
  </w:style>
  <w:style w:type="character" w:customStyle="1" w:styleId="a5">
    <w:name w:val="Подзаголовок Знак"/>
    <w:qFormat/>
    <w:rPr>
      <w:i/>
    </w:rPr>
  </w:style>
  <w:style w:type="character" w:customStyle="1" w:styleId="a6">
    <w:name w:val="Название Знак"/>
    <w:qFormat/>
    <w:rPr>
      <w:b/>
      <w:caps/>
      <w:sz w:val="40"/>
    </w:rPr>
  </w:style>
  <w:style w:type="character" w:customStyle="1" w:styleId="41">
    <w:name w:val="Оглавление 4 Знак1"/>
    <w:link w:val="42"/>
    <w:qFormat/>
    <w:rPr>
      <w:b/>
    </w:rPr>
  </w:style>
  <w:style w:type="character" w:customStyle="1" w:styleId="21">
    <w:name w:val="Оглавление 2 Знак1"/>
    <w:link w:val="22"/>
    <w:qFormat/>
    <w:rPr>
      <w:b/>
      <w:sz w:val="28"/>
    </w:rPr>
  </w:style>
  <w:style w:type="paragraph" w:styleId="a7">
    <w:name w:val="Title"/>
    <w:next w:val="a8"/>
    <w:uiPriority w:val="10"/>
    <w:qFormat/>
    <w:pPr>
      <w:spacing w:before="567" w:after="567"/>
      <w:jc w:val="center"/>
    </w:pPr>
    <w:rPr>
      <w:b/>
      <w:caps/>
      <w:sz w:val="40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2">
    <w:name w:val="toc 2"/>
    <w:next w:val="a"/>
    <w:link w:val="21"/>
    <w:uiPriority w:val="39"/>
    <w:pPr>
      <w:ind w:left="200"/>
    </w:pPr>
    <w:rPr>
      <w:sz w:val="28"/>
    </w:rPr>
  </w:style>
  <w:style w:type="paragraph" w:styleId="42">
    <w:name w:val="toc 4"/>
    <w:next w:val="a"/>
    <w:link w:val="41"/>
    <w:uiPriority w:val="39"/>
    <w:pPr>
      <w:ind w:left="600"/>
    </w:pPr>
    <w:rPr>
      <w:sz w:val="28"/>
    </w:rPr>
  </w:style>
  <w:style w:type="paragraph" w:styleId="60">
    <w:name w:val="toc 6"/>
    <w:next w:val="a"/>
    <w:uiPriority w:val="39"/>
    <w:pPr>
      <w:ind w:left="1000"/>
    </w:pPr>
    <w:rPr>
      <w:sz w:val="28"/>
    </w:rPr>
  </w:style>
  <w:style w:type="paragraph" w:styleId="70">
    <w:name w:val="toc 7"/>
    <w:next w:val="a"/>
    <w:uiPriority w:val="39"/>
    <w:pPr>
      <w:ind w:left="1200"/>
    </w:pPr>
    <w:rPr>
      <w:sz w:val="28"/>
    </w:rPr>
  </w:style>
  <w:style w:type="paragraph" w:styleId="ac">
    <w:name w:val="Balloon Text"/>
    <w:basedOn w:val="a"/>
    <w:qFormat/>
    <w:rPr>
      <w:rFonts w:ascii="Segoe UI" w:hAnsi="Segoe UI"/>
      <w:sz w:val="18"/>
    </w:rPr>
  </w:style>
  <w:style w:type="paragraph" w:customStyle="1" w:styleId="12">
    <w:name w:val="Основной шрифт абзаца1"/>
    <w:link w:val="-"/>
    <w:qFormat/>
    <w:rPr>
      <w:sz w:val="28"/>
    </w:rPr>
  </w:style>
  <w:style w:type="paragraph" w:styleId="ad">
    <w:name w:val="List Paragraph"/>
    <w:basedOn w:val="a"/>
    <w:qFormat/>
    <w:pPr>
      <w:ind w:left="720"/>
      <w:contextualSpacing/>
    </w:pPr>
  </w:style>
  <w:style w:type="paragraph" w:styleId="32">
    <w:name w:val="toc 3"/>
    <w:next w:val="a"/>
    <w:link w:val="31"/>
    <w:uiPriority w:val="39"/>
    <w:pPr>
      <w:ind w:left="400"/>
    </w:pPr>
    <w:rPr>
      <w:sz w:val="28"/>
    </w:rPr>
  </w:style>
  <w:style w:type="paragraph" w:customStyle="1" w:styleId="14">
    <w:name w:val="Обычный1"/>
    <w:link w:val="13"/>
    <w:qFormat/>
    <w:rPr>
      <w:sz w:val="28"/>
    </w:rPr>
  </w:style>
  <w:style w:type="paragraph" w:customStyle="1" w:styleId="16">
    <w:name w:val="Гиперссылка1"/>
    <w:qFormat/>
    <w:rPr>
      <w:color w:val="0000FF"/>
      <w:sz w:val="28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sz w:val="22"/>
    </w:rPr>
  </w:style>
  <w:style w:type="paragraph" w:styleId="15">
    <w:name w:val="toc 1"/>
    <w:next w:val="a"/>
    <w:link w:val="110"/>
    <w:uiPriority w:val="39"/>
    <w:rPr>
      <w:b/>
      <w:sz w:val="28"/>
    </w:rPr>
  </w:style>
  <w:style w:type="paragraph" w:customStyle="1" w:styleId="ae">
    <w:name w:val="Верхний и нижний колонтитулы"/>
    <w:qFormat/>
    <w:pPr>
      <w:jc w:val="both"/>
    </w:pPr>
  </w:style>
  <w:style w:type="paragraph" w:styleId="90">
    <w:name w:val="toc 9"/>
    <w:next w:val="a"/>
    <w:uiPriority w:val="39"/>
    <w:pPr>
      <w:ind w:left="1600"/>
    </w:pPr>
    <w:rPr>
      <w:sz w:val="28"/>
    </w:rPr>
  </w:style>
  <w:style w:type="paragraph" w:styleId="80">
    <w:name w:val="toc 8"/>
    <w:next w:val="a"/>
    <w:uiPriority w:val="39"/>
    <w:pPr>
      <w:ind w:left="1400"/>
    </w:pPr>
    <w:rPr>
      <w:sz w:val="28"/>
    </w:rPr>
  </w:style>
  <w:style w:type="paragraph" w:styleId="52">
    <w:name w:val="toc 5"/>
    <w:next w:val="a"/>
    <w:link w:val="51"/>
    <w:uiPriority w:val="39"/>
    <w:pPr>
      <w:ind w:left="800"/>
    </w:pPr>
    <w:rPr>
      <w:sz w:val="28"/>
    </w:rPr>
  </w:style>
  <w:style w:type="paragraph" w:styleId="af">
    <w:name w:val="Subtitle"/>
    <w:next w:val="a"/>
    <w:uiPriority w:val="11"/>
    <w:qFormat/>
    <w:pPr>
      <w:jc w:val="both"/>
    </w:pPr>
    <w:rPr>
      <w:i/>
      <w:sz w:val="28"/>
    </w:rPr>
  </w:style>
  <w:style w:type="paragraph" w:styleId="af0">
    <w:name w:val="Normal (Web)"/>
    <w:basedOn w:val="a"/>
    <w:uiPriority w:val="99"/>
    <w:unhideWhenUsed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character" w:styleId="af1">
    <w:name w:val="Hyperlink"/>
    <w:basedOn w:val="a0"/>
    <w:uiPriority w:val="99"/>
    <w:unhideWhenUsed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79105&amp;dst=100054&amp;field=134&amp;date=06.05.2024" TargetMode="External"/><Relationship Id="rId13" Type="http://schemas.openxmlformats.org/officeDocument/2006/relationships/hyperlink" Target="https://login.consultant.ru/link/?req=doc&amp;base=RLAW363&amp;n=179105&amp;dst=100054&amp;field=134&amp;date=06.05.2024" TargetMode="External"/><Relationship Id="rId18" Type="http://schemas.openxmlformats.org/officeDocument/2006/relationships/hyperlink" Target="https://login.consultant.ru/link/?req=doc&amp;base=RLAW363&amp;n=179105&amp;dst=100054&amp;field=134&amp;date=06.05.20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363&amp;n=179105&amp;dst=100097&amp;field=134&amp;date=06.05.2024" TargetMode="External"/><Relationship Id="rId7" Type="http://schemas.openxmlformats.org/officeDocument/2006/relationships/hyperlink" Target="https://login.consultant.ru/link/?req=doc&amp;base=RLAW363&amp;n=179105&amp;dst=100054&amp;field=134&amp;date=06.05.2024" TargetMode="External"/><Relationship Id="rId12" Type="http://schemas.openxmlformats.org/officeDocument/2006/relationships/hyperlink" Target="https://login.consultant.ru/link/?req=doc&amp;base=RLAW363&amp;n=179105&amp;dst=100054&amp;field=134&amp;date=06.05.2024" TargetMode="External"/><Relationship Id="rId17" Type="http://schemas.openxmlformats.org/officeDocument/2006/relationships/hyperlink" Target="https://login.consultant.ru/link/?req=doc&amp;base=RLAW363&amp;n=179105&amp;dst=100053&amp;field=134&amp;date=06.05.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3&amp;n=179105&amp;dst=100047&amp;field=134&amp;date=06.05.2024" TargetMode="External"/><Relationship Id="rId20" Type="http://schemas.openxmlformats.org/officeDocument/2006/relationships/hyperlink" Target="https://login.consultant.ru/link/?req=doc&amp;base=RLAW363&amp;n=179105&amp;dst=100092&amp;field=134&amp;date=06.05.202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4894&amp;date=06.05.2024" TargetMode="External"/><Relationship Id="rId11" Type="http://schemas.openxmlformats.org/officeDocument/2006/relationships/hyperlink" Target="https://login.consultant.ru/link/?req=doc&amp;base=RLAW363&amp;n=179105&amp;dst=100054&amp;field=134&amp;date=06.05.202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3&amp;n=179105&amp;dst=100044&amp;field=134&amp;date=06.05.202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63&amp;n=179105&amp;dst=100054&amp;field=134&amp;date=06.05.2024" TargetMode="External"/><Relationship Id="rId19" Type="http://schemas.openxmlformats.org/officeDocument/2006/relationships/hyperlink" Target="https://login.consultant.ru/link/?req=doc&amp;base=RLAW363&amp;n=179105&amp;dst=100076&amp;field=134&amp;date=06.05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79105&amp;dst=100054&amp;field=134&amp;date=06.05.2024" TargetMode="External"/><Relationship Id="rId14" Type="http://schemas.openxmlformats.org/officeDocument/2006/relationships/hyperlink" Target="https://login.consultant.ru/link/?req=doc&amp;base=RLAW363&amp;n=179105&amp;dst=100054&amp;field=134&amp;date=06.05.2024" TargetMode="External"/><Relationship Id="rId22" Type="http://schemas.openxmlformats.org/officeDocument/2006/relationships/hyperlink" Target="https://login.consultant.ru/link/?req=doc&amp;base=RLAW363&amp;n=179105&amp;dst=100100&amp;field=134&amp;date=06.05.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17058-17DC-4D98-A2FB-7297B4CCE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dc:description/>
  <cp:lastModifiedBy>YuristMCX</cp:lastModifiedBy>
  <cp:revision>2</cp:revision>
  <cp:lastPrinted>2024-04-16T14:35:00Z</cp:lastPrinted>
  <dcterms:created xsi:type="dcterms:W3CDTF">2024-05-13T10:36:00Z</dcterms:created>
  <dcterms:modified xsi:type="dcterms:W3CDTF">2024-05-13T10:36:00Z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