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муниципальную программу </w:t>
      </w:r>
    </w:p>
    <w:p>
      <w:pPr>
        <w:pStyle w:val="NormalWeb"/>
        <w:spacing w:beforeAutospacing="0" w:before="0" w:afterAutospacing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«Поддержка и развитие малого и среднего</w:t>
      </w:r>
    </w:p>
    <w:p>
      <w:pPr>
        <w:pStyle w:val="NormalWeb"/>
        <w:spacing w:beforeAutospacing="0" w:before="0" w:afterAutospacing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предпринимательства муниципального</w:t>
      </w:r>
    </w:p>
    <w:p>
      <w:pPr>
        <w:pStyle w:val="NormalWeb"/>
        <w:spacing w:beforeAutospacing="0" w:before="0" w:afterAutospacing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образования город Набережные Челны </w:t>
      </w:r>
    </w:p>
    <w:p>
      <w:pPr>
        <w:pStyle w:val="NormalWeb"/>
        <w:spacing w:beforeAutospacing="0" w:before="0" w:afterAutospacing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2024-2027 годы», утвержденную постановлением</w:t>
      </w:r>
    </w:p>
    <w:p>
      <w:pPr>
        <w:pStyle w:val="NormalWeb"/>
        <w:spacing w:beforeAutospacing="0" w:before="0" w:afterAutospacing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Исполнительного комитета от 02.10.2023 № 9357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статей 41 Устава города,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ПОСТАНОВЛЯЮ: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муниципальную программу «Поддержка и развитие малого и среднего предпринимательства муниципального образования город Набережные Челны на 2024-2027 годы»,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утвержденную </w:t>
      </w:r>
      <w:r>
        <w:rPr>
          <w:rFonts w:cs="Times New Roman" w:ascii="Times New Roman" w:hAnsi="Times New Roman"/>
          <w:sz w:val="28"/>
          <w:szCs w:val="28"/>
        </w:rPr>
        <w:t>постановлением Исполнительного комитета от 02.10.2023 № 9357,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главе 1 строку «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Задачи программы</w:t>
      </w:r>
      <w:r>
        <w:rPr>
          <w:rFonts w:cs="Times New Roman" w:ascii="Times New Roman" w:hAnsi="Times New Roman"/>
          <w:sz w:val="28"/>
          <w:szCs w:val="28"/>
        </w:rPr>
        <w:t>» изложить в следующей редакции: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927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2547"/>
        <w:gridCol w:w="7795"/>
      </w:tblGrid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«Задачи программы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3" w:leader="none"/>
                <w:tab w:val="left" w:pos="317" w:leader="none"/>
              </w:tabs>
              <w:spacing w:lineRule="auto" w:line="264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Развитие инфраструктуры для поддержки малого и среднего предпринимательства.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3" w:leader="none"/>
                <w:tab w:val="left" w:pos="317" w:leader="none"/>
              </w:tabs>
              <w:spacing w:lineRule="auto" w:line="264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Информационно-консультационная поддержка субъектов малого и среднего предпринимательства,</w:t>
            </w:r>
            <w:r>
              <w:rPr>
                <w:rFonts w:eastAsia="Times New Roman" w:cs="Times New Roman" w:ascii="Times New Roman" w:hAnsi="Times New Roman"/>
                <w:iCs/>
                <w:sz w:val="28"/>
                <w:szCs w:val="28"/>
                <w:lang w:eastAsia="ru-RU"/>
              </w:rPr>
              <w:t xml:space="preserve"> в том числе социального предпринимательства.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3" w:leader="none"/>
                <w:tab w:val="left" w:pos="317" w:leader="none"/>
              </w:tabs>
              <w:spacing w:lineRule="auto" w:line="264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Сокращение административных барьеров в развитии малого и среднего предпринимательства.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3" w:leader="none"/>
                <w:tab w:val="left" w:pos="317" w:leader="none"/>
              </w:tabs>
              <w:spacing w:lineRule="auto" w:line="264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Образовательная поддержка и популяризация предпринимательской деятельности,</w:t>
            </w:r>
            <w:r>
              <w:rPr>
                <w:rFonts w:eastAsia="Times New Roman" w:cs="Times New Roman" w:ascii="Times New Roman" w:hAnsi="Times New Roman"/>
                <w:iCs/>
                <w:sz w:val="28"/>
                <w:szCs w:val="28"/>
                <w:lang w:eastAsia="ru-RU"/>
              </w:rPr>
              <w:t xml:space="preserve"> в том числе социального предпринимательства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3" w:leader="none"/>
                <w:tab w:val="left" w:pos="317" w:leader="none"/>
              </w:tabs>
              <w:spacing w:lineRule="auto" w:line="264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Развитие кооперационных связей.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3" w:leader="none"/>
                <w:tab w:val="left" w:pos="317" w:leader="none"/>
              </w:tabs>
              <w:spacing w:lineRule="auto" w:line="264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Увеличение уровня обеспеченности нестационарными торговыми  объектами по реализации печатной продукции.»;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2) главу 3 изложить в следующей редакции: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«Глава 3. Основная цель и задачи программы.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Целью программы является обеспечение устойчивого развития предпринимательства, создание условий для увеличения доли производимых субъектами МСП товаров (работ, услуг) в объеме производимой продукции предприятиями города Набережные Челны.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Для реализации данной цели необходимо решение следующих приоритетных задач: 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- развитие инфраструктуры для поддержки МСП;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- информационно-консультационная поддержка субъектов МСП, в том числе социального предпринимательства;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- сокращение административных барьеров в развитии МСП;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- образовательная поддержка и популяризация предпринимательской деятельности, в том числе социального предпринимательства;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- развитие кооперационных связей;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color w:val="FF0000"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- увеличение уровня обеспеченности нестационарными торговыми объектами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 реализации печатной продукции.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3) главу 4 изложить в новой редакции согласно приложению;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4)  главу 5 изложить в следующей редакции: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</w:r>
    </w:p>
    <w:p>
      <w:pPr>
        <w:pStyle w:val="Normal"/>
        <w:spacing w:lineRule="auto" w:line="264" w:before="0" w:after="0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«Глава 5. Индикаторы оценки результативности программы</w:t>
      </w:r>
    </w:p>
    <w:p>
      <w:pPr>
        <w:pStyle w:val="Normal"/>
        <w:spacing w:lineRule="auto" w:line="264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76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000" w:noHBand="0" w:lastColumn="0" w:firstColumn="0" w:lastRow="0" w:firstRow="0"/>
      </w:tblPr>
      <w:tblGrid>
        <w:gridCol w:w="421"/>
        <w:gridCol w:w="2551"/>
        <w:gridCol w:w="1276"/>
        <w:gridCol w:w="1558"/>
        <w:gridCol w:w="993"/>
        <w:gridCol w:w="993"/>
        <w:gridCol w:w="992"/>
        <w:gridCol w:w="993"/>
        <w:gridCol w:w="991"/>
      </w:tblGrid>
      <w:tr>
        <w:trPr>
          <w:trHeight w:val="804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shd w:fill="FFFFFF" w:val="clear"/>
              </w:rPr>
              <w:t>№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Формула расчета</w:t>
            </w: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2023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</w:tr>
      <w:tr>
        <w:trPr>
          <w:trHeight w:val="1368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shd w:fill="FFFFFF" w:val="clear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Доля субъектов малого и среднего предпринимательства в валовом территориальном продукте (ВТП),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Татарстанстат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30,3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30,5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30,6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30,6</w:t>
            </w:r>
          </w:p>
        </w:tc>
      </w:tr>
      <w:tr>
        <w:trPr>
          <w:trHeight w:val="1132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pacing w:val="1"/>
                <w:sz w:val="21"/>
                <w:szCs w:val="21"/>
                <w:shd w:fill="FFFFFF" w:val="clear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0" w:after="16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Удельный вес поступления налоговых платежей от МСП в городской бюджет,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ИФНС по г. Набережные челны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</w:tr>
      <w:tr>
        <w:trPr>
          <w:trHeight w:val="1857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pacing w:val="1"/>
                <w:sz w:val="21"/>
                <w:szCs w:val="21"/>
                <w:shd w:fill="FFFFFF" w:val="clear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0" w:after="16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Количество субъектов малого и среднего предпринимательства, стоящих на учете в муниципальном образовании город Набережные Челны,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Татарстанстат, паспорт города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26980</w:t>
            </w:r>
          </w:p>
        </w:tc>
      </w:tr>
      <w:tr>
        <w:trPr>
          <w:trHeight w:val="1561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pacing w:val="1"/>
                <w:sz w:val="21"/>
                <w:szCs w:val="21"/>
                <w:shd w:fill="FFFFFF" w:val="clear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Численность занятых в сфере малого и среднего предпринимательства,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 xml:space="preserve">Татарстанстат, таблица «Некоторые результаты обследования МП и ИП»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98771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98800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98850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98900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98950</w:t>
            </w:r>
          </w:p>
        </w:tc>
      </w:tr>
      <w:tr>
        <w:trPr>
          <w:trHeight w:val="1577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pacing w:val="1"/>
                <w:sz w:val="21"/>
                <w:szCs w:val="21"/>
                <w:shd w:fill="FFFFFF" w:val="clear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Оборот малых и средних предприятий, млрд.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Татарстанстат, таблица «Некоторые результаты обследования МП и ИП»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615,5</w:t>
            </w:r>
          </w:p>
        </w:tc>
      </w:tr>
      <w:tr>
        <w:trPr>
          <w:trHeight w:val="1692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pacing w:val="1"/>
                <w:sz w:val="21"/>
                <w:szCs w:val="21"/>
                <w:shd w:fill="FFFFFF" w:val="clear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Доля участия субъектов малого и среднего предпринимательства в закупках для государственных и муниципальных нужд, %</w:t>
            </w:r>
          </w:p>
          <w:p>
            <w:pPr>
              <w:pStyle w:val="Normal"/>
              <w:widowControl w:val="false"/>
              <w:spacing w:before="0" w:after="16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Отдел муниципального заказа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</w:tr>
      <w:tr>
        <w:trPr>
          <w:trHeight w:val="2858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Cs/>
                <w:spacing w:val="1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bCs/>
                <w:spacing w:val="1"/>
                <w:sz w:val="21"/>
                <w:szCs w:val="21"/>
                <w:shd w:fill="FFFFFF" w:val="clear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Количество нестационарных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торговых объектов по реализации печатной продукции, ед.</w:t>
            </w:r>
          </w:p>
          <w:p>
            <w:pPr>
              <w:pStyle w:val="Normal"/>
              <w:widowControl w:val="false"/>
              <w:spacing w:before="0" w:after="16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Отдел потребительского рынка управления экономического развития и поддержки предпринимательства Исполнительного комитета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8».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«Интернет».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3. 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Web"/>
        <w:spacing w:before="280" w:after="280"/>
        <w:ind w:left="708" w:hanging="0"/>
        <w:jc w:val="both"/>
        <w:rPr>
          <w:rStyle w:val="Strong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rStyle w:val="Strong"/>
          <w:b w:val="false"/>
          <w:sz w:val="28"/>
          <w:szCs w:val="28"/>
        </w:rPr>
      </w:pPr>
      <w:r>
        <w:rPr>
          <w:rStyle w:val="Strong"/>
          <w:b w:val="false"/>
          <w:sz w:val="28"/>
          <w:szCs w:val="28"/>
        </w:rPr>
        <w:t xml:space="preserve">Руководитель </w:t>
      </w:r>
    </w:p>
    <w:p>
      <w:pPr>
        <w:sectPr>
          <w:headerReference w:type="default" r:id="rId2"/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134" w:right="709" w:gutter="0" w:header="709" w:top="766" w:footer="709" w:bottom="766"/>
          <w:pgNumType w:start="1" w:fmt="decimal"/>
          <w:formProt w:val="false"/>
          <w:textDirection w:val="lrTb"/>
          <w:docGrid w:type="default" w:linePitch="360" w:charSpace="4096"/>
        </w:sect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rStyle w:val="Strong"/>
          <w:b w:val="false"/>
          <w:sz w:val="28"/>
          <w:szCs w:val="28"/>
        </w:rPr>
        <mc:AlternateContent>
          <mc:Choice Requires="wps">
            <w:drawing>
              <wp:anchor behindDoc="0" distT="0" distB="9525" distL="0" distR="0" simplePos="0" locked="0" layoutInCell="1" allowOverlap="1" relativeHeight="2">
                <wp:simplePos x="0" y="0"/>
                <wp:positionH relativeFrom="column">
                  <wp:posOffset>3118485</wp:posOffset>
                </wp:positionH>
                <wp:positionV relativeFrom="paragraph">
                  <wp:posOffset>-154305</wp:posOffset>
                </wp:positionV>
                <wp:extent cx="152400" cy="161925"/>
                <wp:effectExtent l="0" t="0" r="0" b="952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fillcolor="white" stroked="f" o:allowincell="f" style="position:absolute;margin-left:245.55pt;margin-top:-12.15pt;width:11.95pt;height:12.7pt;mso-wrap-style:none;v-text-anchor:middle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rStyle w:val="Strong"/>
          <w:b w:val="false"/>
          <w:sz w:val="28"/>
          <w:szCs w:val="28"/>
        </w:rPr>
        <w:t>Исполнительного комитета</w:t>
        <w:tab/>
        <w:tab/>
        <w:tab/>
        <w:tab/>
        <w:tab/>
        <w:tab/>
        <w:tab/>
        <w:t xml:space="preserve">       Ф.Ш.Салахов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Исполнительного комитета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«___» _______ 2024 №_____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4.  </w:t>
      </w:r>
      <w:r>
        <w:rPr>
          <w:rFonts w:ascii="Times New Roman" w:hAnsi="Times New Roman"/>
          <w:color w:val="000000"/>
          <w:sz w:val="28"/>
          <w:szCs w:val="28"/>
        </w:rPr>
        <w:t xml:space="preserve">Перечень программных мероприятий </w:t>
      </w:r>
    </w:p>
    <w:tbl>
      <w:tblPr>
        <w:tblStyle w:val="2"/>
        <w:tblW w:w="160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2409"/>
        <w:gridCol w:w="1872"/>
        <w:gridCol w:w="806"/>
        <w:gridCol w:w="1135"/>
        <w:gridCol w:w="751"/>
        <w:gridCol w:w="709"/>
        <w:gridCol w:w="708"/>
        <w:gridCol w:w="708"/>
        <w:gridCol w:w="711"/>
        <w:gridCol w:w="8"/>
        <w:gridCol w:w="843"/>
        <w:gridCol w:w="9"/>
        <w:gridCol w:w="812"/>
        <w:gridCol w:w="710"/>
        <w:gridCol w:w="708"/>
        <w:gridCol w:w="2438"/>
        <w:gridCol w:w="6"/>
      </w:tblGrid>
      <w:tr>
        <w:trPr/>
        <w:tc>
          <w:tcPr>
            <w:tcW w:w="70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24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основных мероприятий</w:t>
            </w:r>
          </w:p>
        </w:tc>
        <w:tc>
          <w:tcPr>
            <w:tcW w:w="187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Исполнители</w:t>
            </w:r>
          </w:p>
        </w:tc>
        <w:tc>
          <w:tcPr>
            <w:tcW w:w="806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Сроки выполнения основных мероприятий</w:t>
            </w:r>
          </w:p>
        </w:tc>
        <w:tc>
          <w:tcPr>
            <w:tcW w:w="113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Индикаторы оценки конечных результатов, единицы измерения</w:t>
            </w:r>
          </w:p>
        </w:tc>
        <w:tc>
          <w:tcPr>
            <w:tcW w:w="3587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Значения индикаторов</w:t>
            </w:r>
          </w:p>
        </w:tc>
        <w:tc>
          <w:tcPr>
            <w:tcW w:w="3090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Финансирование с указанием источника финансирования, (тыс. рублей)</w:t>
            </w:r>
          </w:p>
        </w:tc>
        <w:tc>
          <w:tcPr>
            <w:tcW w:w="24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8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Ожидаемый результат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8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факт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8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8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24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9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10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11</w:t>
            </w:r>
          </w:p>
        </w:tc>
        <w:tc>
          <w:tcPr>
            <w:tcW w:w="82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12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13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</w:t>
            </w:r>
          </w:p>
        </w:tc>
        <w:tc>
          <w:tcPr>
            <w:tcW w:w="24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6047" w:type="dxa"/>
            <w:gridSpan w:val="18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Задача 1. Развитие инфраструктуры для поддержки малого и среднего предпринимательства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Развитие промышленных (индустриальных) парков и промплощадок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Количество привлеченных резидентов,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единиц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10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10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10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10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10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Увеличение количества созданных рабочих мест, увеличение налоговых отчислений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Содействие  в проведении выставок  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Количество выставок ежегодно,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единиц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ru-RU" w:bidi="ar-SA"/>
              </w:rPr>
              <w:t>-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ru-RU" w:bidi="ar-SA"/>
              </w:rPr>
              <w:t>-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Расширение выставочной деятельности в городе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Подготовка перечня муниципального имущества для предоставления субъектам малого и среднего предпринимательства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объектов в перечне,  ед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иниц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22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23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24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Наличие предложений по предоставлению муниципального имущества субъектам малого и среднего предпринимательства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6047" w:type="dxa"/>
            <w:gridSpan w:val="18"/>
            <w:tcBorders/>
          </w:tcPr>
          <w:p>
            <w:pPr>
              <w:pStyle w:val="Normal"/>
              <w:widowControl/>
              <w:tabs>
                <w:tab w:val="clear" w:pos="708"/>
                <w:tab w:val="left" w:pos="33" w:leader="none"/>
                <w:tab w:val="left" w:pos="317" w:leader="none"/>
              </w:tabs>
              <w:spacing w:lineRule="auto" w:line="264" w:before="0" w:after="0"/>
              <w:ind w:left="360" w:right="0" w:hanging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Задача 2. Информационно-консультационная поддержка субъектов малого и среднего предпринимательства, в том числе социального предпринимательства.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1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1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1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Информирование субъектов предпринимательства, в том числе социального предпринимательства, о мерах финансовой поддержки на федеральном и республиканском уровне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Количество проинформированных субъектов МСП, единиц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50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60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70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80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90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Открытие новых  или расширение существующих производств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1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5.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1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Информирование субъектов предпринимательства,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в том числе социального предпринимательства,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 о проводимых в городе, других городах, странах мероприятиях (семинарах, конкурсах, выставках, мастер-классах), связанных с предпринимательской деятельностью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Количество проинформированных субъектов МСП, единиц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50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60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70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80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90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Открытие новых производств, участие предпринимателей в конкурсах, выставках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6047" w:type="dxa"/>
            <w:gridSpan w:val="1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Задача 3. Сокращение административных барьеров в развитии малого и среднего предпринимательства</w:t>
            </w:r>
          </w:p>
        </w:tc>
      </w:tr>
      <w:tr>
        <w:trPr>
          <w:trHeight w:val="304" w:hRule="atLeast"/>
        </w:trPr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firstLine="1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6.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firstLine="1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Проведение заседаний Совета по предпринимательству при Мэре города Набережные Челны, в том числе выездных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Количество проведенных заседани,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единиц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Решение вопросов муниципального уровня для реализации инвестиционных проектов в городе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firstLine="11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7.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firstLine="11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Проведение заседаний, встреч с организациями, образующими инфраструктуру предпринимательства 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Ежеквартально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Количество проведенных мероприятий,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единиц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Решение коллегиально системных вопросов в сфере предпринимательства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6047" w:type="dxa"/>
            <w:gridSpan w:val="1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Задача 4. Образовательная поддержка и популяризация предпринимательской деятельности,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в том числе социального предпринимательства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8.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Проведение городского конкурса «Предприниматель года»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победителей конкурса, чел.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50,2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50,2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50,2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50,2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Выявление  успешных предпринимателей и формирование положительного имиджа бизнесмена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9.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Проведение конкурса "Молодой предприниматель Автограда"  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комитета, управление по делам молодежи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победителей конкурса, чел.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5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5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5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112,8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112,8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112,8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112,8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Выявление успешных молодых предпринимателей, </w:t>
            </w: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формирование эффективной жизненной стратегии в молодежной среде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День работника бытового обслуживания и ЖКХ, чествование лучших работников отрасли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городского хозяйства и жизнеобеспечения населения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награждаемых, чел.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38,0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38,0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38,0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38,0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Повышение имиджа предпринимательской деятельности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11.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Чествование лучших работников в рамке профессиональных праздников (День работника торговли, День машиностроителя, День экономиста)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награждаемых, чел.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40,0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40,0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40,0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40,0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Повышение имиджа предпринимательской деятельности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День строителя, чествование лучших работников отрасли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Управление архитектуры, градостроительного и жилищного развития Исполнительного комитета, организационный отдел Исполнительного комитета 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награждаемых, чел.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17,3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17,3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17,3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17,3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Повышение имиджа предпринимательской деятельности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13.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День работников автомобильного транспорта, чествование лучших работников отрасли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городского хозяйства и жизнеобеспечения населения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награждаемых, чел.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20,0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20,0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20,0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20,0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Повышение имиджа предпринимательской деятельности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6047" w:type="dxa"/>
            <w:gridSpan w:val="1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Задача 5. Развитие кооперационных связей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Проведение ярмарок, мероприятий по продвижению продукции и услуг местных товаропроизводителей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проведенных ярмарок, мероприятий, ед.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130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135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140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145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150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-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Оказание содействия в сбыте продукции, увеличение объемов реализации продукции местного производства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15.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Организация презентационных встреч, мероприятий, выездных бизнес-миссий 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комитета, отдел по развитию ТОР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встреч, ед.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8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-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Расширение рынков сбыта продукции. Организация новых производственных кооперационных связей.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16.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Проведение выставки в рамках итогового заседания Городского Совета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участников выставки, ед.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300,0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Расширение контактов предприятий для развития новых кооперационных связей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6041" w:type="dxa"/>
            <w:gridSpan w:val="17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Задача 6. Увеличение уровня обеспеченности нестационарными торговыми  объектами по реализации печатной продукции.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17.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Увеличение количества </w:t>
            </w:r>
            <w:r>
              <w:rPr>
                <w:rFonts w:eastAsia="Calibri" w:cs="" w:ascii="Times New Roman" w:hAnsi="Times New Roman"/>
                <w:spacing w:val="2"/>
                <w:kern w:val="0"/>
                <w:sz w:val="21"/>
                <w:szCs w:val="21"/>
                <w:lang w:val="ru-RU" w:eastAsia="en-US" w:bidi="ar-SA"/>
              </w:rPr>
              <w:t>нестационарных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Calibri" w:cs="" w:ascii="Times New Roman" w:hAnsi="Times New Roman"/>
                <w:spacing w:val="2"/>
                <w:kern w:val="0"/>
                <w:sz w:val="21"/>
                <w:szCs w:val="21"/>
                <w:lang w:val="ru-RU" w:eastAsia="en-US" w:bidi="ar-SA"/>
              </w:rPr>
              <w:t>торговых объектов по реализации печатной продукции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pacing w:val="2"/>
                <w:sz w:val="21"/>
                <w:szCs w:val="21"/>
              </w:rPr>
            </w:pPr>
            <w:r>
              <w:rPr>
                <w:rFonts w:eastAsia="Calibri" w:cs="" w:ascii="Times New Roman" w:hAnsi="Times New Roman"/>
                <w:spacing w:val="2"/>
                <w:kern w:val="0"/>
                <w:sz w:val="21"/>
                <w:szCs w:val="21"/>
                <w:lang w:val="ru-RU" w:eastAsia="en-US" w:bidi="ar-SA"/>
              </w:rPr>
              <w:t>Количество нестационарных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Calibri" w:cs="" w:ascii="Times New Roman" w:hAnsi="Times New Roman"/>
                <w:spacing w:val="2"/>
                <w:kern w:val="0"/>
                <w:sz w:val="21"/>
                <w:szCs w:val="21"/>
                <w:lang w:val="ru-RU" w:eastAsia="en-US" w:bidi="ar-SA"/>
              </w:rPr>
              <w:t>торговых объектов по реализации печатной продукции, ед.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5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6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-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Увеличение количества фактически размещённых нестационарных торговых объектов на территории муниципального образования город Набережные Челны со специализацией печатная продукция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18.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Взаимодействия с хозяйствующими субъектами, осуществляющими деятельность по </w:t>
            </w:r>
            <w:r>
              <w:rPr>
                <w:rFonts w:eastAsia="Calibri" w:cs="" w:ascii="Times New Roman" w:hAnsi="Times New Roman"/>
                <w:spacing w:val="2"/>
                <w:kern w:val="0"/>
                <w:sz w:val="21"/>
                <w:szCs w:val="21"/>
                <w:lang w:val="ru-RU" w:eastAsia="en-US" w:bidi="ar-SA"/>
              </w:rPr>
              <w:t xml:space="preserve">реализации печатной продукции, для решения проблемных вопросов, связанных с размещением нестационарных торговых объектов </w:t>
            </w:r>
          </w:p>
        </w:tc>
        <w:tc>
          <w:tcPr>
            <w:tcW w:w="1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встреч с предпринимателями, ед.</w:t>
            </w:r>
          </w:p>
        </w:tc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3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-</w:t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Увеличение количества фактически размещённых нестационарных торговых объектов на территории муниципального образования город Набережные Челны со специализацией печатная продукция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521" w:type="dxa"/>
            <w:gridSpan w:val="11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Итого по программе: 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</w:t>
            </w: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</w:t>
            </w:r>
          </w:p>
        </w:tc>
        <w:tc>
          <w:tcPr>
            <w:tcW w:w="244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4530" w:leader="none"/>
        </w:tabs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Заместитель Руководителя Аппарата, </w:t>
      </w:r>
    </w:p>
    <w:p>
      <w:pPr>
        <w:pStyle w:val="Normal"/>
        <w:tabs>
          <w:tab w:val="clear" w:pos="708"/>
          <w:tab w:val="left" w:pos="4530" w:leader="none"/>
        </w:tabs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начальник управления делопроизводством  </w:t>
      </w:r>
    </w:p>
    <w:p>
      <w:pPr>
        <w:pStyle w:val="Normal"/>
        <w:tabs>
          <w:tab w:val="clear" w:pos="708"/>
          <w:tab w:val="left" w:pos="4530" w:leader="none"/>
        </w:tabs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Исполнительного комитета                                                           </w:t>
        <w:tab/>
        <w:t xml:space="preserve">                                                          Н.И. Галиева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6838" w:h="11906"/>
      <w:pgMar w:left="567" w:right="567" w:gutter="0" w:header="851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tabs>
        <w:tab w:val="clear" w:pos="4677"/>
        <w:tab w:val="clear" w:pos="9355"/>
        <w:tab w:val="left" w:pos="3915" w:leader="none"/>
      </w:tabs>
      <w:ind w:right="360" w:hanging="0"/>
      <w:rPr/>
    </w:pP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tabs>
        <w:tab w:val="clear" w:pos="4677"/>
        <w:tab w:val="clear" w:pos="9355"/>
        <w:tab w:val="left" w:pos="3915" w:leader="none"/>
      </w:tabs>
      <w:ind w:right="360" w:hanging="0"/>
      <w:rPr/>
    </w:pPr>
    <w:r>
      <w:rPr/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14261334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12706433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08d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a92397"/>
    <w:rPr/>
  </w:style>
  <w:style w:type="character" w:styleId="Pagenumber">
    <w:name w:val="page number"/>
    <w:basedOn w:val="DefaultParagraphFont"/>
    <w:qFormat/>
    <w:rsid w:val="00a9239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a92397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36f24"/>
    <w:rPr>
      <w:rFonts w:ascii="Tahoma" w:hAnsi="Tahoma" w:cs="Tahoma"/>
      <w:sz w:val="16"/>
      <w:szCs w:val="16"/>
    </w:rPr>
  </w:style>
  <w:style w:type="character" w:styleId="Style17" w:customStyle="1">
    <w:name w:val="Абзац списка Знак"/>
    <w:link w:val="ListParagraph"/>
    <w:uiPriority w:val="34"/>
    <w:qFormat/>
    <w:rsid w:val="002b139d"/>
    <w:rPr/>
  </w:style>
  <w:style w:type="character" w:styleId="-">
    <w:name w:val="Hyperlink"/>
    <w:basedOn w:val="DefaultParagraphFont"/>
    <w:uiPriority w:val="99"/>
    <w:unhideWhenUsed/>
    <w:rsid w:val="00760f2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97e82"/>
    <w:rPr>
      <w:b/>
      <w:bCs/>
    </w:rPr>
  </w:style>
  <w:style w:type="character" w:styleId="Style18" w:customStyle="1">
    <w:name w:val="Основной текст с отступом Знак"/>
    <w:basedOn w:val="DefaultParagraphFont"/>
    <w:uiPriority w:val="99"/>
    <w:qFormat/>
    <w:rsid w:val="001712b6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Normal"/>
    <w:link w:val="Style14"/>
    <w:uiPriority w:val="99"/>
    <w:semiHidden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Header"/>
    <w:basedOn w:val="Normal"/>
    <w:link w:val="Style15"/>
    <w:uiPriority w:val="99"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36f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d6188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Default" w:customStyle="1">
    <w:name w:val="Default"/>
    <w:qFormat/>
    <w:rsid w:val="006b7f10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link w:val="Style17"/>
    <w:uiPriority w:val="34"/>
    <w:qFormat/>
    <w:rsid w:val="002e09fa"/>
    <w:pPr>
      <w:spacing w:lineRule="auto" w:line="276" w:before="0" w:after="200"/>
      <w:ind w:left="720" w:hanging="0"/>
      <w:contextualSpacing/>
    </w:pPr>
    <w:rPr/>
  </w:style>
  <w:style w:type="paragraph" w:styleId="1" w:customStyle="1">
    <w:name w:val="Знак Знак Знак Знак1"/>
    <w:basedOn w:val="Normal"/>
    <w:uiPriority w:val="99"/>
    <w:qFormat/>
    <w:rsid w:val="00ed0fc8"/>
    <w:pPr>
      <w:spacing w:lineRule="auto" w:line="240" w:before="0" w:after="60"/>
      <w:ind w:firstLine="709"/>
      <w:jc w:val="both"/>
    </w:pPr>
    <w:rPr>
      <w:rFonts w:ascii="Arial" w:hAnsi="Arial" w:eastAsia="Times New Roman" w:cs="Arial"/>
      <w:bCs/>
      <w:sz w:val="24"/>
      <w:szCs w:val="24"/>
      <w:lang w:eastAsia="ru-RU"/>
    </w:rPr>
  </w:style>
  <w:style w:type="paragraph" w:styleId="P10" w:customStyle="1">
    <w:name w:val="p10"/>
    <w:basedOn w:val="Normal"/>
    <w:qFormat/>
    <w:rsid w:val="006c29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qFormat/>
    <w:rsid w:val="0026361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1" w:customStyle="1">
    <w:name w:val="Normal1"/>
    <w:qFormat/>
    <w:rsid w:val="00ae4e5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27">
    <w:name w:val="Body Text Indent"/>
    <w:basedOn w:val="Normal"/>
    <w:link w:val="Style18"/>
    <w:uiPriority w:val="99"/>
    <w:rsid w:val="001712b6"/>
    <w:pPr>
      <w:spacing w:lineRule="auto" w:line="240" w:before="0" w:after="0"/>
      <w:ind w:firstLine="900"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7617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876179"/>
    <w:pPr>
      <w:widowControl/>
      <w:bidi w:val="0"/>
      <w:spacing w:lineRule="auto" w:line="240" w:before="10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en-US" w:bidi="ar-SA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222e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9139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FB17-84AD-43CF-868B-D68DF414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LibreOffice/7.5.6.2$Linux_X86_64 LibreOffice_project/50$Build-2</Application>
  <AppVersion>15.0000</AppVersion>
  <Pages>8</Pages>
  <Words>1475</Words>
  <Characters>10877</Characters>
  <CharactersWithSpaces>12069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2024-05-16T08:43:00Z</dcterms:created>
  <dc:creator>Галина Красильникова Михайловна</dc:creator>
  <dc:description/>
  <dc:language>ru-RU</dc:language>
  <cp:lastModifiedBy>Лилия Гарипова Азатовна</cp:lastModifiedBy>
  <cp:lastPrinted>2024-05-16T07:53:00Z</cp:lastPrinted>
  <dcterms:modified xsi:type="dcterms:W3CDTF">2024-05-21T07:45:00Z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