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О специализированной службе по вопросам похоронного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4515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515A1" w:rsidRPr="004515A1" w:rsidRDefault="004515A1" w:rsidP="004515A1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12 января 1996 года № 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«О погребении и похоронном деле», от 6 октября 2003 года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Законом Республики Татарстан от 28 июля 2004 года № 45-ЗРТ «О 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самоуправлении в Республике Татарстан», Уставом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>, в целях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соглашений о передаче Исполнительному комитету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 xml:space="preserve"> части полномочий исполнительных комитетов</w:t>
      </w:r>
      <w:r>
        <w:rPr>
          <w:rFonts w:ascii="Times New Roman" w:hAnsi="Times New Roman" w:cs="Times New Roman"/>
          <w:sz w:val="28"/>
          <w:szCs w:val="28"/>
        </w:rPr>
        <w:t xml:space="preserve"> сельских </w:t>
      </w:r>
      <w:r w:rsidRPr="004515A1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решению вопросов местного значения Исполнительный комитет </w:t>
      </w:r>
      <w:r w:rsidRPr="004515A1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4515A1">
        <w:rPr>
          <w:rFonts w:ascii="Times New Roman" w:hAnsi="Times New Roman" w:cs="Times New Roman"/>
          <w:sz w:val="28"/>
          <w:szCs w:val="28"/>
        </w:rPr>
        <w:t>:</w:t>
      </w:r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Осуществлять полномочия специализированной службы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похоронного дела на территории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Ответственным за осуществление полномочи</w:t>
      </w:r>
      <w:r w:rsidR="00127044">
        <w:rPr>
          <w:rFonts w:ascii="Times New Roman" w:hAnsi="Times New Roman" w:cs="Times New Roman"/>
          <w:sz w:val="28"/>
          <w:szCs w:val="28"/>
        </w:rPr>
        <w:t>й</w:t>
      </w:r>
      <w:r w:rsidRPr="004515A1">
        <w:rPr>
          <w:rFonts w:ascii="Times New Roman" w:hAnsi="Times New Roman" w:cs="Times New Roman"/>
          <w:sz w:val="28"/>
          <w:szCs w:val="28"/>
        </w:rPr>
        <w:t xml:space="preserve"> 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и жилищно-коммунального хозяйства </w:t>
      </w:r>
      <w:r w:rsidRPr="004515A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>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15A1">
        <w:rPr>
          <w:rFonts w:ascii="Times New Roman" w:hAnsi="Times New Roman" w:cs="Times New Roman"/>
          <w:sz w:val="28"/>
          <w:szCs w:val="28"/>
        </w:rPr>
        <w:t>орядок осуществления полномочий специализированной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службы по вопросам похоронного дела на территории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Pr="004515A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15A1">
        <w:rPr>
          <w:rFonts w:ascii="Times New Roman" w:hAnsi="Times New Roman" w:cs="Times New Roman"/>
          <w:sz w:val="28"/>
          <w:szCs w:val="28"/>
        </w:rPr>
        <w:t>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и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>.</w:t>
      </w:r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D3D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FD3D7B">
        <w:rPr>
          <w:rFonts w:ascii="Times New Roman" w:hAnsi="Times New Roman" w:cs="Times New Roman"/>
          <w:sz w:val="28"/>
          <w:szCs w:val="28"/>
        </w:rPr>
        <w:t xml:space="preserve"> Исполнительного комитета Дрожжановского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Р.Р..</w:t>
      </w:r>
      <w:proofErr w:type="gramEnd"/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4515A1" w:rsidRDefault="004515A1" w:rsidP="0045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4515A1" w:rsidRPr="00FD3D7B" w:rsidRDefault="004515A1" w:rsidP="004515A1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515A1" w:rsidRPr="00FD3D7B" w:rsidRDefault="004515A1" w:rsidP="004515A1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D3D7B">
        <w:rPr>
          <w:rFonts w:ascii="Times New Roman" w:hAnsi="Times New Roman" w:cs="Times New Roman"/>
          <w:sz w:val="28"/>
          <w:szCs w:val="28"/>
        </w:rPr>
        <w:t>омитета</w:t>
      </w:r>
    </w:p>
    <w:p w:rsidR="004515A1" w:rsidRPr="00FD3D7B" w:rsidRDefault="004515A1" w:rsidP="004515A1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4515A1" w:rsidRPr="00FD3D7B" w:rsidRDefault="004515A1" w:rsidP="004515A1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515A1" w:rsidRPr="00FD3D7B" w:rsidRDefault="004515A1" w:rsidP="004515A1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D3D7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515A1" w:rsidRDefault="004515A1" w:rsidP="00451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5A1" w:rsidRPr="004515A1" w:rsidRDefault="004515A1" w:rsidP="00451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Порядок</w:t>
      </w:r>
    </w:p>
    <w:p w:rsidR="004515A1" w:rsidRDefault="004515A1" w:rsidP="004515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осуществления полномочий специализированной службы по вопросам похоронного дела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федеральными законами от 12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1996 года № 8-ФЗ «О погребении и похоронном деле», от 6 октября 2003 года № 131-ФЗ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Федерации»,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Республики Татарстан от 28 июля 2004 года № 45-ЗРТ «О местном самоуправлении 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Татарстан», Уставом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>, в целях осуществления полномочий специализированной службы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вопросам похоронного дела на территории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>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1.1. Специализированной службой по вопросам похоронного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515A1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4515A1">
        <w:rPr>
          <w:rFonts w:ascii="Times New Roman" w:hAnsi="Times New Roman" w:cs="Times New Roman"/>
          <w:sz w:val="28"/>
          <w:szCs w:val="28"/>
        </w:rPr>
        <w:t>выступает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специализированная служба). Специализированная служба осуществляет полномочия по оказанию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гарантированного перечня услуг по погребению на безвозмездной основе.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В своей деятельности специализированная служба руководствуется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Республики Татарстан, муниципальными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4515A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>,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рекомендациями по обустройству и содержанию кладбищ, организации похоронного дела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Республике Татарстан, утвержденными приказом Министерства строительства, архитектуры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жилищно-коммунального хозяйства Республики Татарстан, настоящим Порядком.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Стоимость услуг, предоставляемых согласно гарантированному перечню услуг по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погребению, предоставляемых специализированной службой, утверждается муниципальным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127044" w:rsidRPr="0012704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4515A1">
        <w:rPr>
          <w:rFonts w:ascii="Times New Roman" w:hAnsi="Times New Roman" w:cs="Times New Roman"/>
          <w:sz w:val="28"/>
          <w:szCs w:val="28"/>
        </w:rPr>
        <w:t>.</w:t>
      </w:r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1.3.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Специализированная служба заключает контракты (договоры) с физическими или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юридическими лицами на выполнение работ в рамках оказания гарантированного перечня услуг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 погребению.</w:t>
      </w:r>
    </w:p>
    <w:p w:rsidR="00127044" w:rsidRPr="004515A1" w:rsidRDefault="00127044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lastRenderedPageBreak/>
        <w:t>Глава 2. Основные функции и обязанности специализированной службы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2.1.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На общественных кладбищах поселений, с которыми заключены соглашения о передаче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части полномочий в сфере похоронного дела на районный уровень, специализированной службой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осуществляется оказание на безвозмездной основе следующего перечня услуг по погребению: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1)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2)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предоставление и доставка гроба и других предметов, необходимых для погребения;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3)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перевозка тела (останков) умершего на кладбище;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4)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погребение.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2.2.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При отсутствии супруга, близких родственников, иных родственников либо законного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представителя умершего или при невозможности осуществить ими погребение, а также при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отсутствии иных лиц, взявших на себя обязанность осуществить погребение, погребение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умершего на дому, на улице или в ином месте после установления органами внутренних дел его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личности осуществляется специализированной службой в течение трех суток с момента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установления причины смерти, если иное не предусмотрено законодательством Российской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Федерации.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2.3.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Погребение умерших, личность которых не установлена органами внутренних дел в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определенные законодательством Российской Федерации сроки, осуществляется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специализированной службой с согласия указанных органов путем предания земле на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определенных для таких случаев участках общественных кладбищ.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2.4.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Услуги, оказываемые специализированной службой при погребении умерших,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указанных в пунктах 2.2 и 2.3 настоящего Порядка, включают: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4) перевозку умершего на кладбище;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5) погребение.</w:t>
      </w:r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2.5.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Оказание гарантированного перечня услуг по погребению осуществляется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специализированной службой в порядке и сроки, определенные законодательством.</w:t>
      </w:r>
    </w:p>
    <w:p w:rsidR="00127044" w:rsidRPr="004515A1" w:rsidRDefault="00127044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Глава 3. Требования к осуществлению полномочий специализированной службы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3.1.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Специализированная служба обязана соблюдать требования законодательства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Российской Федерации, Республики Татарстан и муниципальных правовых актов в сфере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погребения и похоронного дела, в том числе: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-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государственные гарантии по предоставлению гарантированного перечня услуг по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погребению на безвозмездной основе;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-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требования к качеству оказания услуг, входящих в гарантированный перечень услуг по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погребению.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Отказ специализированной службы в оказании гарантированного перечня услуг в связи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 отсутствием необходимых средств или по другим основаниям не допускается.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3.3.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Специализированная служба не вправе: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1) препятствовать в осуществлении погребения (в том числе путем придания умершего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земле) лицам, осуществляющим волеизъявление умершего, а также действующим от имени и по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поручению супруга умершего, близких родственников, иных родственников, законных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представителей, иных лиц, взявших на себя обязанности осуществить погребение умершего;</w:t>
      </w:r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2)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обязывать (понуждать) приобретать у специализированной службы ритуальные услуги, в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том числе на платной основе услуги, входящие в гарантированный перечень услуг по погребению.</w:t>
      </w:r>
    </w:p>
    <w:p w:rsidR="00127044" w:rsidRPr="004515A1" w:rsidRDefault="00127044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Глава 4. Основные требования к порядку деятельности специализированной службы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4.1.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Специализированная служба оформляет документы, необходимые для погребения,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назначает дату и время погребения в соответствии с обычаями и традициями, а также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вероисповеданием умершего.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По результатам оформления документов специализированная служба оказывает услугу по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погребению в соответствии с главой 2 настоящего Порядка.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4.2.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Специализированная служба оказывает консультативную помощь: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по порядку оказания гарантированного перечня услуг по погребению;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по правилам работы кладбищ;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по порядку предоставления и размерам социального пособия на погребение и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единовременной материальной помощи, выплачиваемой гражданам в соответствии с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 сфере погребения и похоронного дела.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4.3.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В помещении специализированной службы должна находиться в доступном для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обозрения месте следующая обязательная информация: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1)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Закон Российской Федерации от 7 февраля 1992 года № 2300-1 «О защите прав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потребителей»;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2)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Федеральный закон от 12 января 1996 года № 8-ФЗ «О погребении и похоронном деле»;</w:t>
      </w: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3) Указ Президента Российской Федерации от 29 июня 1996 года № 1001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«О гарантиях прав граждан на предоставление услуг по погребению умерших»;</w:t>
      </w:r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4) гарантированный перечень услуг по погребению.</w:t>
      </w:r>
    </w:p>
    <w:p w:rsidR="00127044" w:rsidRPr="004515A1" w:rsidRDefault="00127044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5A1" w:rsidRP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Глава 5. Ответственность специализированной службы</w:t>
      </w:r>
    </w:p>
    <w:p w:rsidR="004515A1" w:rsidRDefault="004515A1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A1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исполнение требований законодательства Российской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Федерации в сфере погребения и похоронного дела специализированная служба несет</w:t>
      </w:r>
      <w:r w:rsidR="00127044">
        <w:rPr>
          <w:rFonts w:ascii="Times New Roman" w:hAnsi="Times New Roman" w:cs="Times New Roman"/>
          <w:sz w:val="28"/>
          <w:szCs w:val="28"/>
        </w:rPr>
        <w:t xml:space="preserve"> </w:t>
      </w:r>
      <w:r w:rsidRPr="004515A1">
        <w:rPr>
          <w:rFonts w:ascii="Times New Roman" w:hAnsi="Times New Roman" w:cs="Times New Roman"/>
          <w:sz w:val="28"/>
          <w:szCs w:val="28"/>
        </w:rPr>
        <w:t>ответственность в соответствии с действующим законодательством.</w:t>
      </w:r>
    </w:p>
    <w:p w:rsidR="00127044" w:rsidRDefault="00127044" w:rsidP="0045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044" w:rsidRPr="004515A1" w:rsidRDefault="00127044" w:rsidP="0012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делами: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sectPr w:rsidR="00127044" w:rsidRPr="004515A1" w:rsidSect="004515A1">
      <w:pgSz w:w="11906" w:h="16838"/>
      <w:pgMar w:top="1134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A1"/>
    <w:rsid w:val="00127044"/>
    <w:rsid w:val="004515A1"/>
    <w:rsid w:val="00E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C4E9"/>
  <w15:chartTrackingRefBased/>
  <w15:docId w15:val="{54494494-A730-4B9B-BD99-3AFF8B8A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</cp:revision>
  <dcterms:created xsi:type="dcterms:W3CDTF">2024-05-28T06:49:00Z</dcterms:created>
  <dcterms:modified xsi:type="dcterms:W3CDTF">2024-05-28T07:09:00Z</dcterms:modified>
</cp:coreProperties>
</file>