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02" w:rsidRDefault="004A0C02">
      <w:pPr>
        <w:spacing w:before="240" w:line="240" w:lineRule="auto"/>
        <w:ind w:right="4676"/>
        <w:jc w:val="both"/>
      </w:pPr>
    </w:p>
    <w:p w:rsidR="004A0C02" w:rsidRDefault="003F3347">
      <w:pPr>
        <w:spacing w:before="240" w:line="240" w:lineRule="auto"/>
        <w:ind w:right="4676"/>
        <w:jc w:val="both"/>
      </w:pPr>
      <w:r>
        <w:rPr>
          <w:rFonts w:ascii="Tinos" w:eastAsia="Calibri" w:hAnsi="Tinos"/>
          <w:sz w:val="28"/>
          <w:szCs w:val="28"/>
        </w:rPr>
        <w:t xml:space="preserve">О внесении изменений в постановление Исполнительного комитета от 30.10.2020 № 5735 «Об утверждении муниципальной программы «Обеспечение общественного порядка и </w:t>
      </w:r>
      <w:r>
        <w:rPr>
          <w:rStyle w:val="FontStyle13"/>
          <w:rFonts w:ascii="Tinos" w:hAnsi="Tinos"/>
          <w:sz w:val="28"/>
          <w:szCs w:val="28"/>
          <w:lang w:eastAsia="ru-RU"/>
        </w:rPr>
        <w:t>профилактики правонарушений</w:t>
      </w:r>
      <w:r>
        <w:rPr>
          <w:rFonts w:ascii="Tinos" w:eastAsia="Calibri" w:hAnsi="Tinos"/>
          <w:sz w:val="28"/>
          <w:szCs w:val="28"/>
        </w:rPr>
        <w:t xml:space="preserve"> в муниципальном образовании город Набережные Челны на 2021-2024 годы» </w:t>
      </w:r>
    </w:p>
    <w:p w:rsidR="004A0C02" w:rsidRDefault="004A0C02">
      <w:pPr>
        <w:spacing w:before="240" w:line="240" w:lineRule="auto"/>
        <w:ind w:right="4676"/>
        <w:jc w:val="both"/>
        <w:rPr>
          <w:rFonts w:ascii="Tinos" w:eastAsia="Calibri" w:hAnsi="Tinos"/>
          <w:sz w:val="28"/>
          <w:szCs w:val="28"/>
        </w:rPr>
      </w:pPr>
    </w:p>
    <w:p w:rsidR="004A0C02" w:rsidRDefault="003F3347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/>
          <w:sz w:val="28"/>
          <w:szCs w:val="28"/>
        </w:rPr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утвержденного решением Городского Со</w:t>
      </w:r>
      <w:r>
        <w:rPr>
          <w:rFonts w:ascii="Tinos" w:eastAsia="Calibri" w:hAnsi="Tinos"/>
          <w:sz w:val="28"/>
          <w:szCs w:val="28"/>
        </w:rPr>
        <w:t>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4A0C02" w:rsidRDefault="004A0C02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nos" w:eastAsia="Calibri" w:hAnsi="Tinos"/>
          <w:sz w:val="28"/>
          <w:szCs w:val="28"/>
        </w:rPr>
      </w:pPr>
    </w:p>
    <w:p w:rsidR="004A0C02" w:rsidRDefault="003F3347">
      <w:pPr>
        <w:tabs>
          <w:tab w:val="left" w:pos="9923"/>
        </w:tabs>
        <w:spacing w:before="240" w:line="240" w:lineRule="auto"/>
        <w:ind w:right="-1"/>
        <w:jc w:val="center"/>
        <w:rPr>
          <w:rFonts w:ascii="Tinos" w:hAnsi="Tinos"/>
          <w:sz w:val="28"/>
          <w:szCs w:val="28"/>
        </w:rPr>
      </w:pPr>
      <w:r>
        <w:rPr>
          <w:rFonts w:ascii="Tinos" w:eastAsia="Calibri" w:hAnsi="Tinos"/>
          <w:sz w:val="28"/>
          <w:szCs w:val="28"/>
        </w:rPr>
        <w:t>П О С Т А Н О В Л Я Ю:</w:t>
      </w:r>
    </w:p>
    <w:p w:rsidR="004A0C02" w:rsidRDefault="004A0C02">
      <w:pPr>
        <w:tabs>
          <w:tab w:val="left" w:pos="9923"/>
        </w:tabs>
        <w:spacing w:before="240" w:line="240" w:lineRule="auto"/>
        <w:ind w:right="-1"/>
        <w:jc w:val="center"/>
        <w:rPr>
          <w:rFonts w:ascii="Tinos" w:eastAsia="Calibri" w:hAnsi="Tinos"/>
          <w:sz w:val="28"/>
          <w:szCs w:val="28"/>
        </w:rPr>
      </w:pPr>
    </w:p>
    <w:p w:rsidR="004A0C02" w:rsidRDefault="003F3347"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/>
          <w:sz w:val="28"/>
          <w:szCs w:val="28"/>
        </w:rPr>
        <w:t>1. Внести в постановление Исполнительного комитет</w:t>
      </w:r>
      <w:r>
        <w:rPr>
          <w:rFonts w:ascii="Tinos" w:eastAsia="Calibri" w:hAnsi="Tinos"/>
          <w:sz w:val="28"/>
          <w:szCs w:val="28"/>
        </w:rPr>
        <w:t>а от 30.10.2020 № 5735 «Об утверждении муниципальной программы «Обеспечение общественного порядка и профилактики правонарушений в муниципальном образовании город Набережные Челны на 2021-2024 годы» (в редакции постановлений Исполнительного комитета от 10.0</w:t>
      </w:r>
      <w:r>
        <w:rPr>
          <w:rFonts w:ascii="Tinos" w:eastAsia="Calibri" w:hAnsi="Tinos"/>
          <w:sz w:val="28"/>
          <w:szCs w:val="28"/>
        </w:rPr>
        <w:t>9.2021 № 5967, от 25.03.2022 № 1623, от 27.05.2022 № 2715, от 14.07.2022 № 3557, от 24.03.2023 № 2091, от 22.12.2023       № 12416, от 22.03.2024 № 1784) следующие изменения:</w:t>
      </w:r>
    </w:p>
    <w:p w:rsidR="004A0C02" w:rsidRDefault="003F3347">
      <w:pPr>
        <w:tabs>
          <w:tab w:val="left" w:pos="9923"/>
        </w:tabs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1) </w:t>
      </w:r>
      <w:r>
        <w:rPr>
          <w:rFonts w:ascii="Tinos" w:eastAsia="Calibri" w:hAnsi="Tinos"/>
          <w:sz w:val="28"/>
          <w:szCs w:val="28"/>
        </w:rPr>
        <w:t>пункт 2 изложить в следующей редакции:</w:t>
      </w:r>
    </w:p>
    <w:p w:rsidR="004A0C02" w:rsidRDefault="003F3347"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/>
          <w:sz w:val="28"/>
          <w:szCs w:val="28"/>
        </w:rPr>
        <w:t>«2. Управлению финансов Исполнительного</w:t>
      </w:r>
      <w:r>
        <w:rPr>
          <w:rFonts w:ascii="Tinos" w:eastAsia="Calibri" w:hAnsi="Tinos"/>
          <w:sz w:val="28"/>
          <w:szCs w:val="28"/>
        </w:rPr>
        <w:t xml:space="preserve"> комитета обеспечить финансирование программы, указанной в пункте 1 настоящего постановления за счёт средств, предусмотренных в бюджете города Набережные Челны по разделам (подразделам) 01.13 «Другие общегосударственные вопросы»; 03.14 «Другие вопросы в об</w:t>
      </w:r>
      <w:r>
        <w:rPr>
          <w:rFonts w:ascii="Tinos" w:eastAsia="Calibri" w:hAnsi="Tinos"/>
          <w:sz w:val="28"/>
          <w:szCs w:val="28"/>
        </w:rPr>
        <w:t xml:space="preserve">ласти национальной безопасности и правоохранительной деятельности»: </w:t>
      </w:r>
      <w:r>
        <w:rPr>
          <w:rFonts w:ascii="Tinos" w:hAnsi="Tinos"/>
          <w:sz w:val="28"/>
          <w:szCs w:val="28"/>
        </w:rPr>
        <w:t>2021 год – 97922,81 тыс. рублей, 2022 год – 101 822,2 тыс. рублей, 2023 год – 135 700,50 тыс. рублей, 2024 год – 101 658,45 тыс. рублей.»;</w:t>
      </w:r>
    </w:p>
    <w:p w:rsidR="004A0C02" w:rsidRDefault="003F3347"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2) в муниципальной программе </w:t>
      </w:r>
      <w:r>
        <w:rPr>
          <w:rFonts w:ascii="Tinos" w:eastAsia="Calibri" w:hAnsi="Tinos"/>
          <w:sz w:val="28"/>
          <w:szCs w:val="28"/>
        </w:rPr>
        <w:t>«Обеспечение обществ</w:t>
      </w:r>
      <w:r>
        <w:rPr>
          <w:rFonts w:ascii="Tinos" w:eastAsia="Calibri" w:hAnsi="Tinos"/>
          <w:sz w:val="28"/>
          <w:szCs w:val="28"/>
        </w:rPr>
        <w:t>енного порядка и профилактики правонарушений в муниципальном образовании город Набережные Челны на 2021-2024 годы»:</w:t>
      </w:r>
    </w:p>
    <w:p w:rsidR="004A0C02" w:rsidRDefault="003F3347"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/>
          <w:sz w:val="28"/>
          <w:szCs w:val="28"/>
        </w:rPr>
        <w:t>- в главе 1 строку «О</w:t>
      </w:r>
      <w:r>
        <w:rPr>
          <w:rFonts w:ascii="Tinos" w:hAnsi="Tinos"/>
          <w:sz w:val="28"/>
          <w:szCs w:val="28"/>
        </w:rPr>
        <w:t>бъемы и источники финансирования программы с разбивкой по годам» изложить в следующей редакции:</w:t>
      </w:r>
    </w:p>
    <w:p w:rsidR="004A0C02" w:rsidRDefault="004A0C02">
      <w:pPr>
        <w:widowControl w:val="0"/>
        <w:spacing w:after="0" w:line="240" w:lineRule="auto"/>
        <w:ind w:firstLine="567"/>
        <w:jc w:val="both"/>
        <w:rPr>
          <w:rFonts w:ascii="Tinos" w:hAnsi="Tinos"/>
          <w:sz w:val="28"/>
          <w:szCs w:val="28"/>
        </w:rPr>
      </w:pPr>
    </w:p>
    <w:p w:rsidR="004A0C02" w:rsidRDefault="004A0C02">
      <w:pPr>
        <w:widowControl w:val="0"/>
        <w:spacing w:after="0" w:line="240" w:lineRule="auto"/>
        <w:ind w:firstLine="567"/>
        <w:jc w:val="both"/>
        <w:rPr>
          <w:rFonts w:ascii="Tinos" w:hAnsi="Tinos"/>
          <w:sz w:val="28"/>
          <w:szCs w:val="28"/>
        </w:rPr>
      </w:pPr>
    </w:p>
    <w:p w:rsidR="004A0C02" w:rsidRDefault="004A0C02">
      <w:pPr>
        <w:widowControl w:val="0"/>
        <w:spacing w:after="0" w:line="240" w:lineRule="auto"/>
        <w:jc w:val="both"/>
        <w:rPr>
          <w:rFonts w:ascii="Tinos" w:hAnsi="Tinos"/>
          <w:sz w:val="28"/>
          <w:szCs w:val="28"/>
        </w:rPr>
      </w:pPr>
    </w:p>
    <w:tbl>
      <w:tblPr>
        <w:tblW w:w="1063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2127"/>
        <w:gridCol w:w="8505"/>
      </w:tblGrid>
      <w:tr w:rsidR="004A0C0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pStyle w:val="ConsPlusNonforma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и источники финансирования программы с разбивкой по годам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713" w:type="dxa"/>
              <w:tblLayout w:type="fixed"/>
              <w:tblLook w:val="04A0" w:firstRow="1" w:lastRow="0" w:firstColumn="1" w:lastColumn="0" w:noHBand="0" w:noVBand="1"/>
            </w:tblPr>
            <w:tblGrid>
              <w:gridCol w:w="1875"/>
              <w:gridCol w:w="1275"/>
              <w:gridCol w:w="1276"/>
              <w:gridCol w:w="1275"/>
              <w:gridCol w:w="1277"/>
              <w:gridCol w:w="1735"/>
            </w:tblGrid>
            <w:tr w:rsidR="004A0C02">
              <w:tc>
                <w:tcPr>
                  <w:tcW w:w="1874" w:type="dxa"/>
                  <w:vMerge w:val="restart"/>
                  <w:tcBorders>
                    <w:top w:val="single" w:sz="2" w:space="0" w:color="FFFFFF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ind w:left="-77"/>
                    <w:jc w:val="both"/>
                  </w:pPr>
                  <w:r>
                    <w:rPr>
                      <w:rFonts w:ascii="Times New Roman" w:hAnsi="Times New Roman"/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2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bCs/>
                    </w:rPr>
                    <w:t>Годы реализации программы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2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  <w:p w:rsidR="004A0C02" w:rsidRDefault="003F3347">
                  <w:pPr>
                    <w:widowControl w:val="0"/>
                    <w:spacing w:after="0" w:line="240" w:lineRule="auto"/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за период реализации тыс.рублей</w:t>
                  </w:r>
                </w:p>
              </w:tc>
            </w:tr>
            <w:tr w:rsidR="004A0C02">
              <w:tc>
                <w:tcPr>
                  <w:tcW w:w="1874" w:type="dxa"/>
                  <w:vMerge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ind w:left="65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bCs/>
                    </w:rPr>
                    <w:t>2021 год</w:t>
                  </w:r>
                </w:p>
                <w:p w:rsidR="004A0C02" w:rsidRDefault="003F3347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bCs/>
                    </w:rPr>
                    <w:t>2022 год</w:t>
                  </w:r>
                </w:p>
                <w:p w:rsidR="004A0C02" w:rsidRDefault="003F3347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bCs/>
                    </w:rPr>
                    <w:t>2023 год</w:t>
                  </w:r>
                </w:p>
                <w:p w:rsidR="004A0C02" w:rsidRDefault="003F3347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bCs/>
                    </w:rPr>
                    <w:t>2024 год</w:t>
                  </w:r>
                </w:p>
                <w:p w:rsidR="004A0C02" w:rsidRDefault="003F3347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</w:p>
              </w:tc>
              <w:tc>
                <w:tcPr>
                  <w:tcW w:w="173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A0C02"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ind w:left="-77"/>
                  </w:pPr>
                  <w:r>
                    <w:rPr>
                      <w:rFonts w:ascii="Times New Roman" w:hAnsi="Times New Roman"/>
                      <w:bCs/>
                    </w:rPr>
                    <w:t xml:space="preserve">Муниципальный </w:t>
                  </w:r>
                  <w:r>
                    <w:rPr>
                      <w:rFonts w:ascii="Times New Roman" w:hAnsi="Times New Roman"/>
                      <w:bCs/>
                    </w:rPr>
                    <w:t>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</w:rPr>
                    <w:t>97 922,81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bCs/>
                    </w:rPr>
                    <w:t>101 822,2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bCs/>
                    </w:rPr>
                    <w:t>135 700,50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bCs/>
                    </w:rPr>
                    <w:t>101 658,45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bCs/>
                    </w:rPr>
                    <w:t>437103,96</w:t>
                  </w:r>
                </w:p>
              </w:tc>
            </w:tr>
            <w:tr w:rsidR="004A0C02"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ind w:left="-77"/>
                  </w:pPr>
                  <w:r>
                    <w:rPr>
                      <w:rFonts w:ascii="Times New Roman" w:hAnsi="Times New Roman"/>
                      <w:bCs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A0C02"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ind w:left="-77"/>
                  </w:pPr>
                  <w:r>
                    <w:rPr>
                      <w:rFonts w:ascii="Times New Roman" w:hAnsi="Times New Roman"/>
                      <w:bCs/>
                    </w:rPr>
                    <w:t>Республиканский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A0C02"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ind w:left="-77"/>
                  </w:pPr>
                  <w:r>
                    <w:rPr>
                      <w:rFonts w:ascii="Times New Roman" w:hAnsi="Times New Roman"/>
                      <w:bCs/>
                    </w:rPr>
                    <w:t>Прочие источники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4A0C0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A0C02">
              <w:trPr>
                <w:trHeight w:val="294"/>
              </w:trPr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ind w:left="-77"/>
                  </w:pPr>
                  <w:r>
                    <w:rPr>
                      <w:rFonts w:ascii="Times New Roman" w:hAnsi="Times New Roman"/>
                      <w:bCs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</w:rPr>
                    <w:t>97 922,81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bCs/>
                    </w:rPr>
                    <w:t>101 822,2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bCs/>
                    </w:rPr>
                    <w:t>135 700,50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bCs/>
                    </w:rPr>
                    <w:t>101 658,45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A0C02" w:rsidRDefault="003F3347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bCs/>
                    </w:rPr>
                    <w:t>437103,96</w:t>
                  </w:r>
                </w:p>
              </w:tc>
            </w:tr>
          </w:tbl>
          <w:p w:rsidR="004A0C02" w:rsidRDefault="004A0C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0C02" w:rsidRDefault="004A0C02">
      <w:pPr>
        <w:widowControl w:val="0"/>
        <w:spacing w:after="0" w:line="240" w:lineRule="auto"/>
        <w:ind w:right="-712"/>
        <w:jc w:val="both"/>
        <w:rPr>
          <w:rFonts w:ascii="Times New Roman" w:hAnsi="Times New Roman"/>
          <w:sz w:val="28"/>
          <w:szCs w:val="28"/>
        </w:rPr>
      </w:pPr>
    </w:p>
    <w:p w:rsidR="004A0C02" w:rsidRDefault="003F3347"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- главу 5 изложить в следующей редакции: </w:t>
      </w:r>
    </w:p>
    <w:p w:rsidR="004A0C02" w:rsidRDefault="003F3347">
      <w:pPr>
        <w:widowControl w:val="0"/>
        <w:spacing w:after="0" w:line="240" w:lineRule="auto"/>
        <w:ind w:firstLine="709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«Глава 5. </w:t>
      </w:r>
      <w:r>
        <w:rPr>
          <w:rFonts w:ascii="Tinos" w:hAnsi="Tinos"/>
          <w:sz w:val="28"/>
          <w:szCs w:val="28"/>
        </w:rPr>
        <w:t>Ресурсное обеспечение программы</w:t>
      </w:r>
    </w:p>
    <w:p w:rsidR="004A0C02" w:rsidRDefault="003F3347"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 w:rsidR="004A0C02" w:rsidRDefault="003F3347"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Объём финансирования программы 2021-2024 годы составляет </w:t>
      </w:r>
      <w:r>
        <w:rPr>
          <w:rFonts w:ascii="Tinos" w:hAnsi="Tinos"/>
          <w:bCs/>
          <w:sz w:val="28"/>
          <w:szCs w:val="28"/>
        </w:rPr>
        <w:t>437103,96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Cs/>
          <w:sz w:val="28"/>
          <w:szCs w:val="28"/>
        </w:rPr>
        <w:t>тыс.</w:t>
      </w:r>
      <w:r>
        <w:rPr>
          <w:rFonts w:ascii="Tinos" w:hAnsi="Tinos"/>
          <w:sz w:val="28"/>
          <w:szCs w:val="28"/>
        </w:rPr>
        <w:t xml:space="preserve"> рублей, в том числе по годам реализации программы</w:t>
      </w:r>
      <w:r>
        <w:rPr>
          <w:rFonts w:ascii="Tinos" w:hAnsi="Tinos"/>
          <w:sz w:val="28"/>
          <w:szCs w:val="28"/>
        </w:rPr>
        <w:t>: 2021 год – 97 922,81 тыс. рублей, 2022 год – 101 822,2 тыс. рублей, 2023 год – 135 700,50 тыс. рублей, 2024 год – 101 658,45 тыс. рублей.»;</w:t>
      </w:r>
    </w:p>
    <w:p w:rsidR="004A0C02" w:rsidRDefault="003F3347"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главу 8 изложить в новой редакции согласно приложению.</w:t>
      </w:r>
    </w:p>
    <w:p w:rsidR="004A0C02" w:rsidRDefault="003F3347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/>
          <w:sz w:val="28"/>
          <w:szCs w:val="28"/>
        </w:rPr>
        <w:t>2.</w:t>
      </w:r>
      <w:r>
        <w:rPr>
          <w:rFonts w:ascii="Tinos" w:hAnsi="Tinos"/>
          <w:spacing w:val="2"/>
          <w:sz w:val="28"/>
          <w:szCs w:val="28"/>
        </w:rPr>
        <w:t xml:space="preserve"> Управлению делопроизводством Исполнительного комитета </w:t>
      </w:r>
      <w:r>
        <w:rPr>
          <w:rFonts w:ascii="Tinos" w:hAnsi="Tinos"/>
          <w:spacing w:val="2"/>
          <w:sz w:val="28"/>
          <w:szCs w:val="28"/>
        </w:rPr>
        <w:t>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rFonts w:ascii="Tinos" w:hAnsi="Tinos"/>
          <w:spacing w:val="2"/>
          <w:sz w:val="28"/>
          <w:szCs w:val="28"/>
          <w:lang w:val="en-US"/>
        </w:rPr>
        <w:t>pr</w:t>
      </w:r>
      <w:r>
        <w:rPr>
          <w:rFonts w:ascii="Tinos" w:hAnsi="Tinos"/>
          <w:spacing w:val="2"/>
          <w:sz w:val="28"/>
          <w:szCs w:val="28"/>
        </w:rPr>
        <w:t>а</w:t>
      </w:r>
      <w:r>
        <w:rPr>
          <w:rFonts w:ascii="Tinos" w:hAnsi="Tinos"/>
          <w:spacing w:val="2"/>
          <w:sz w:val="28"/>
          <w:szCs w:val="28"/>
          <w:lang w:val="en-US"/>
        </w:rPr>
        <w:t>vo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tatarstan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ru</w:t>
      </w:r>
      <w:r>
        <w:rPr>
          <w:rFonts w:ascii="Tinos" w:hAnsi="Tinos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4A0C02" w:rsidRDefault="003F3347">
      <w:pPr>
        <w:tabs>
          <w:tab w:val="left" w:pos="9923"/>
        </w:tabs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nos" w:hAnsi="Tinos"/>
          <w:sz w:val="28"/>
          <w:szCs w:val="28"/>
        </w:rPr>
        <w:t>заведующего сектором гражданской обороны и защиты населения Исполнительного комитета Шипееву Р.К.</w:t>
      </w:r>
    </w:p>
    <w:p w:rsidR="004A0C02" w:rsidRDefault="004A0C02">
      <w:pPr>
        <w:tabs>
          <w:tab w:val="left" w:pos="9923"/>
        </w:tabs>
        <w:spacing w:after="0" w:line="240" w:lineRule="auto"/>
        <w:ind w:firstLine="851"/>
        <w:jc w:val="both"/>
        <w:rPr>
          <w:rFonts w:ascii="Tinos" w:eastAsia="Calibri" w:hAnsi="Tinos"/>
          <w:sz w:val="28"/>
          <w:szCs w:val="28"/>
        </w:rPr>
      </w:pPr>
    </w:p>
    <w:p w:rsidR="004A0C02" w:rsidRDefault="004A0C02">
      <w:pPr>
        <w:tabs>
          <w:tab w:val="left" w:pos="9923"/>
        </w:tabs>
        <w:spacing w:after="0" w:line="240" w:lineRule="auto"/>
        <w:ind w:firstLine="851"/>
        <w:jc w:val="both"/>
        <w:rPr>
          <w:rFonts w:ascii="Tinos" w:eastAsia="Calibri" w:hAnsi="Tinos"/>
          <w:sz w:val="28"/>
          <w:szCs w:val="28"/>
        </w:rPr>
      </w:pPr>
    </w:p>
    <w:p w:rsidR="004A0C02" w:rsidRDefault="004A0C02">
      <w:pPr>
        <w:tabs>
          <w:tab w:val="left" w:pos="9923"/>
        </w:tabs>
        <w:spacing w:after="0" w:line="240" w:lineRule="auto"/>
        <w:ind w:firstLine="851"/>
        <w:jc w:val="both"/>
        <w:rPr>
          <w:rFonts w:ascii="Tinos" w:eastAsia="Calibri" w:hAnsi="Tinos"/>
          <w:sz w:val="28"/>
          <w:szCs w:val="28"/>
        </w:rPr>
      </w:pPr>
    </w:p>
    <w:p w:rsidR="004A0C02" w:rsidRDefault="003F3347">
      <w:pPr>
        <w:tabs>
          <w:tab w:val="left" w:pos="9923"/>
        </w:tabs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Calibri" w:hAnsi="Tinos"/>
          <w:sz w:val="28"/>
          <w:szCs w:val="28"/>
        </w:rPr>
        <w:t xml:space="preserve">Руководитель </w:t>
      </w:r>
    </w:p>
    <w:p w:rsidR="004A0C02" w:rsidRDefault="003F3347">
      <w:pPr>
        <w:tabs>
          <w:tab w:val="left" w:pos="9923"/>
        </w:tabs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Calibri" w:hAnsi="Tinos"/>
          <w:sz w:val="28"/>
          <w:szCs w:val="28"/>
        </w:rPr>
        <w:t xml:space="preserve">Исполнительного комитета                                                    </w:t>
      </w:r>
      <w:r>
        <w:rPr>
          <w:rFonts w:ascii="Tinos" w:eastAsia="Calibri" w:hAnsi="Tinos"/>
          <w:sz w:val="28"/>
          <w:szCs w:val="28"/>
        </w:rPr>
        <w:t xml:space="preserve">                 Ф.Ш. Салахов</w:t>
      </w:r>
    </w:p>
    <w:p w:rsidR="004A0C02" w:rsidRDefault="004A0C02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4A0C02" w:rsidRDefault="004A0C02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4A0C02" w:rsidRDefault="004A0C02">
      <w:pPr>
        <w:widowControl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4A0C02" w:rsidRDefault="004A0C02">
      <w:pPr>
        <w:rPr>
          <w:rFonts w:ascii="Times New Roman" w:hAnsi="Times New Roman"/>
          <w:szCs w:val="28"/>
        </w:rPr>
      </w:pPr>
    </w:p>
    <w:p w:rsidR="004A0C02" w:rsidRDefault="004A0C02">
      <w:pPr>
        <w:rPr>
          <w:rFonts w:ascii="Times New Roman" w:hAnsi="Times New Roman"/>
          <w:szCs w:val="28"/>
        </w:rPr>
      </w:pPr>
    </w:p>
    <w:p w:rsidR="004A0C02" w:rsidRDefault="004A0C02">
      <w:pPr>
        <w:rPr>
          <w:rFonts w:ascii="Times New Roman" w:hAnsi="Times New Roman"/>
          <w:szCs w:val="28"/>
        </w:rPr>
      </w:pPr>
    </w:p>
    <w:p w:rsidR="004A0C02" w:rsidRDefault="003F3347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Нотфуллина Н.А.</w:t>
      </w:r>
    </w:p>
    <w:p w:rsidR="004A0C02" w:rsidRDefault="003F3347">
      <w:pPr>
        <w:spacing w:after="0" w:line="240" w:lineRule="auto"/>
        <w:rPr>
          <w:rFonts w:ascii="Times New Roman" w:hAnsi="Times New Roman"/>
          <w:szCs w:val="28"/>
        </w:rPr>
        <w:sectPr w:rsidR="004A0C02">
          <w:headerReference w:type="default" r:id="rId7"/>
          <w:pgSz w:w="11906" w:h="16838"/>
          <w:pgMar w:top="1134" w:right="851" w:bottom="1134" w:left="1135" w:header="709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Cs w:val="28"/>
        </w:rPr>
        <w:t>Тел: 30-56-77</w:t>
      </w:r>
    </w:p>
    <w:p w:rsidR="004A0C02" w:rsidRDefault="003F334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A0C02" w:rsidRDefault="003F334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4A0C02" w:rsidRDefault="003F334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4A0C02" w:rsidRDefault="003F334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«____» _____ 2024 №____ </w:t>
      </w:r>
    </w:p>
    <w:p w:rsidR="004A0C02" w:rsidRDefault="004A0C02">
      <w:pPr>
        <w:widowControl w:val="0"/>
        <w:spacing w:after="0" w:line="240" w:lineRule="auto"/>
        <w:ind w:left="11482"/>
        <w:outlineLvl w:val="2"/>
        <w:rPr>
          <w:rFonts w:ascii="Times New Roman" w:hAnsi="Times New Roman"/>
          <w:szCs w:val="28"/>
        </w:rPr>
      </w:pPr>
    </w:p>
    <w:p w:rsidR="004A0C02" w:rsidRDefault="004A0C02">
      <w:pPr>
        <w:widowControl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4A0C02" w:rsidRDefault="003F334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Глава 8. </w:t>
      </w:r>
      <w:r>
        <w:rPr>
          <w:rFonts w:ascii="Times New Roman" w:hAnsi="Times New Roman"/>
          <w:sz w:val="28"/>
          <w:szCs w:val="24"/>
        </w:rPr>
        <w:t>Цели, задачи, индикаторы оценки результатов программы и финансирование по мероприятиям программы</w:t>
      </w:r>
    </w:p>
    <w:p w:rsidR="004A0C02" w:rsidRDefault="004A0C02">
      <w:pPr>
        <w:shd w:val="clear" w:color="auto" w:fill="FFFFFF"/>
        <w:spacing w:after="0" w:line="240" w:lineRule="auto"/>
        <w:jc w:val="center"/>
        <w:rPr>
          <w:rFonts w:cs="Calibri"/>
          <w:b/>
          <w:sz w:val="28"/>
          <w:szCs w:val="28"/>
          <w:lang w:eastAsia="ru-RU"/>
        </w:rPr>
      </w:pPr>
    </w:p>
    <w:tbl>
      <w:tblPr>
        <w:tblW w:w="1559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845"/>
        <w:gridCol w:w="2126"/>
        <w:gridCol w:w="1133"/>
        <w:gridCol w:w="1540"/>
        <w:gridCol w:w="871"/>
        <w:gridCol w:w="708"/>
        <w:gridCol w:w="708"/>
        <w:gridCol w:w="852"/>
        <w:gridCol w:w="871"/>
        <w:gridCol w:w="1254"/>
        <w:gridCol w:w="1134"/>
        <w:gridCol w:w="1277"/>
        <w:gridCol w:w="1275"/>
      </w:tblGrid>
      <w:tr w:rsidR="004A0C02">
        <w:trPr>
          <w:tblHeader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основных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Значения </w:t>
            </w:r>
            <w:r>
              <w:rPr>
                <w:rFonts w:ascii="Times New Roman" w:hAnsi="Times New Roman"/>
                <w:sz w:val="18"/>
                <w:szCs w:val="18"/>
              </w:rPr>
              <w:t>индикаторов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Финансирование 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</w:tr>
      <w:tr w:rsidR="004A0C02">
        <w:trPr>
          <w:cantSplit/>
          <w:trHeight w:val="1134"/>
          <w:tblHeader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(базовый)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A0C02" w:rsidRDefault="003F334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  <w:p w:rsidR="004A0C02" w:rsidRDefault="004A0C0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C02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4A0C02"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>
              <w:rPr>
                <w:rStyle w:val="FontStyle21"/>
                <w:sz w:val="20"/>
                <w:szCs w:val="20"/>
                <w:lang w:eastAsia="ru-RU"/>
              </w:rPr>
              <w:t xml:space="preserve">Цель: повышение качества и результативности реализуемых мер по охране общественного </w:t>
            </w:r>
            <w:r>
              <w:rPr>
                <w:rStyle w:val="FontStyle21"/>
                <w:sz w:val="20"/>
                <w:szCs w:val="20"/>
                <w:lang w:eastAsia="ru-RU"/>
              </w:rPr>
              <w:t>порядка на территории муниципального образования город Набережные Челны</w:t>
            </w:r>
          </w:p>
        </w:tc>
      </w:tr>
      <w:tr w:rsidR="004A0C02"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Снижение уровня преступности на территории муниципального образования город Набережные Челны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1.1. Организация трансляции социальной рекламы, социальных аудио-, видеороликов 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тему профилактики различных преступлений и правонарушений в СМИ и транспорте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зарегистрированных преступлений, ед.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6848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6798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нансирование не требуется</w:t>
            </w:r>
          </w:p>
        </w:tc>
      </w:tr>
      <w:tr w:rsidR="004A0C02">
        <w:trPr>
          <w:trHeight w:val="216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1.2. Организация и проведение встреч с населением по вопросам профилактики правонарушений и противодействия преступным посягательствам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rPr>
          <w:trHeight w:val="3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1.3. Осуществление профилактических мероприятий, направленных на пресечение нелегального оборота алкогольной и спиртосодержащей продукции, изъятие из оборота контрафактных и фальсифицированных товаров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экономического развития и поддержки предприн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имательства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rPr>
          <w:trHeight w:val="90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C02"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Организация подготовки осужденных к освобождению из мест лишения свободы (ресоциализация лиц, осужденных к наказаниям без изоляции от общества и состоящих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учёте в филиалах г. Набережные Челны ФКУ «Уголовно-исполнительная инспекция Федеральной службы исполнения наказаний по Республике Татарстан» (далее - УИИ))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Актуализация видов и перечня организаций, в которых отбывается уголовное наказание в виде </w:t>
            </w:r>
            <w:r>
              <w:rPr>
                <w:rFonts w:ascii="Times New Roman" w:hAnsi="Times New Roman"/>
                <w:sz w:val="20"/>
                <w:szCs w:val="20"/>
              </w:rPr>
              <w:t>обязательных и исправительных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преступлений, совершенных ранее судимыми лицами, %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rPr>
          <w:trHeight w:val="25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2.2. 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совместно с сотрудниками УИИ тематических занятий, тренингов с осужденными без изоляции от общества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rPr>
          <w:trHeight w:val="19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2.3. 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профессионального обучения и профессиональной подготовки осужденных, состоящих на учёте в УИИ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rPr>
          <w:trHeight w:val="25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2.4. Организация содействия по вопросам трудоустройства лиц, освободившихся из мест лишения свободы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экономического развития и поддержки предпринимательства Исполнительного комитета,</w:t>
            </w:r>
          </w:p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гражданской обороны и защиты населения Исполнительного </w:t>
            </w:r>
            <w:r>
              <w:rPr>
                <w:rFonts w:ascii="Times New Roman" w:hAnsi="Times New Roman"/>
                <w:sz w:val="20"/>
                <w:szCs w:val="20"/>
              </w:rPr>
              <w:t>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>3. Совершенствование работы по профилактике и предупреждению правонарушений, совершаемых на улицах и в общественных местах города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3.1.Организация взаимодействия в рамках 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Республики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Татарстан от   25.04.2015 № 33-ЗРТ «Об общественных пунктах охраны порядка в Республике Татарстан» по решению задач обеспечения общественного порядка, безопасности и профилактики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Администрации районов Исполнительного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комитета, управление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обеспечению охраны общественного порядка при Исполнительном комитете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преступлений, совершенных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общественных местах, ед.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3367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3167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3.2. Приведение общественных пунктов охраны порядка (далее – ОПОП) в соответствие с рекомендуемыми критериями создания ОПОП, утвержденными Постановлением Кабинета Министров РТ от 30.05.2015 № 388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3.3. В рамках Закона Республики Татарстан от 16.01.2015 № 4-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ЗРТ «Об участии граждан в охране общественного порядка в Республике Татарстан» продолжить работу по вовлечению граждан в добровольные народные дружины, развитию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молодежного правоохранительного движения, в том числе студенческой и рабочей молодёжи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Сектор гражданской обороны и защиты населения Исполнительного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преступлений, совершенных на улицах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города, ед.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2033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3.4. Осуществление в СМИ пропаганды положи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softHyphen/>
              <w:t>тельного опыта работы лиц, добровольно участвующих в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rPr>
          <w:trHeight w:val="244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3.5. Организация и проведение тематических, плановых инструктажей правовой и специальной подготовки народных дружинников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каждое 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rPr>
          <w:trHeight w:val="10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 Проведение конкурсов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«Лучшая народная дружина города Набережные Челны» и «Лучший народный дружинник города Набережные Челны»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декабрь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4A0C02">
        <w:trPr>
          <w:trHeight w:val="11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3.7. Содержание ОПОП</w:t>
            </w:r>
          </w:p>
          <w:p w:rsidR="004A0C02" w:rsidRDefault="004A0C02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2021-2024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91 504,67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93 833,9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104 217,17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94 858,45</w:t>
            </w:r>
          </w:p>
        </w:tc>
      </w:tr>
      <w:tr w:rsidR="004A0C02">
        <w:trPr>
          <w:trHeight w:val="11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3.8. Издание книги «Территория закона»</w:t>
            </w:r>
          </w:p>
          <w:p w:rsidR="004A0C02" w:rsidRDefault="004A0C0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гражданской обороны и защиты населения Исполнительного </w:t>
            </w:r>
            <w:r>
              <w:rPr>
                <w:rFonts w:ascii="Times New Roman" w:hAnsi="Times New Roman"/>
                <w:sz w:val="20"/>
                <w:szCs w:val="20"/>
              </w:rPr>
              <w:t>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 квартал каждого 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3.9. Проведение награждения городской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премией «За активное участие в охране общественного порядка»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Сектор гражданской обороны и защиты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1 раз в полугодие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3.10. Организация и проведение спартакиад школьных, молодёжных и студенческих формирований по охране общественного порядка в городе Набережные Челны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апрель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rPr>
          <w:trHeight w:val="2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Участие 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республиканских слёт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 конференци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молодёжных, студенческих и школьных формирований по охране общественного порядка</w:t>
            </w:r>
          </w:p>
          <w:p w:rsidR="004A0C02" w:rsidRDefault="004A0C02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Финансирование 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требуется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3.12. Участие в ежегодном республиканском конкурсе на лучшее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молодёжное, рабочее, студенческое и школьное формирование по охране общественного порядка</w:t>
            </w:r>
          </w:p>
          <w:p w:rsidR="004A0C02" w:rsidRDefault="004A0C02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Управление по делам молодёжи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сентябрь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 требуется</w:t>
            </w:r>
          </w:p>
        </w:tc>
      </w:tr>
      <w:tr w:rsidR="004A0C02">
        <w:trPr>
          <w:trHeight w:val="32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3.13. Организация ежегодных профильных смен в оздоровительных лагерях для членов молодежных, студенческих и школьных формирований по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делам молодежи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управление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май</w:t>
            </w:r>
          </w:p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3.14. Предоставление услуг каналов связи для АПК «Безопасный город»</w:t>
            </w:r>
          </w:p>
          <w:p w:rsidR="004A0C02" w:rsidRDefault="004A0C02">
            <w:pPr>
              <w:widowControl w:val="0"/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6398,14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26 003,33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3.15.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Приобретение проездных билетов для сотрудников УМВД России по г.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Набережные Челны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Управление городского хозяйства и жизнеобеспечения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ежемесячно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преступлений, совершенных на улицах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города, ед.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2 956,7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5 280,0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6 600,00</w:t>
            </w:r>
          </w:p>
        </w:tc>
      </w:tr>
      <w:tr w:rsidR="004A0C0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4A0C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97922,81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101 822,2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135 700,50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C02" w:rsidRDefault="003F33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101 658,45</w:t>
            </w:r>
          </w:p>
        </w:tc>
      </w:tr>
    </w:tbl>
    <w:p w:rsidR="004A0C02" w:rsidRDefault="004A0C02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</w:p>
    <w:p w:rsidR="004A0C02" w:rsidRDefault="004A0C02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</w:p>
    <w:p w:rsidR="004A0C02" w:rsidRDefault="004A0C02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</w:p>
    <w:p w:rsidR="004A0C02" w:rsidRDefault="004A0C0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A0C02" w:rsidRDefault="004A0C0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A0C02" w:rsidRDefault="003F334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Руководителя Аппарата,</w:t>
      </w:r>
    </w:p>
    <w:p w:rsidR="004A0C02" w:rsidRDefault="003F334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начальник управления делопроизводств</w:t>
      </w:r>
      <w:r w:rsidR="00B05AC5">
        <w:rPr>
          <w:rFonts w:ascii="Times New Roman" w:hAnsi="Times New Roman"/>
          <w:sz w:val="26"/>
          <w:szCs w:val="26"/>
          <w:lang w:eastAsia="ru-RU"/>
        </w:rPr>
        <w:t>ом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4A0C02" w:rsidRDefault="003F334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Исполнительного комитета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Н.И. Галиева</w:t>
      </w:r>
    </w:p>
    <w:sectPr w:rsidR="004A0C02">
      <w:headerReference w:type="default" r:id="rId8"/>
      <w:headerReference w:type="first" r:id="rId9"/>
      <w:pgSz w:w="16838" w:h="11906" w:orient="landscape"/>
      <w:pgMar w:top="1135" w:right="1134" w:bottom="851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47" w:rsidRDefault="003F3347">
      <w:pPr>
        <w:spacing w:after="0" w:line="240" w:lineRule="auto"/>
      </w:pPr>
      <w:r>
        <w:separator/>
      </w:r>
    </w:p>
  </w:endnote>
  <w:endnote w:type="continuationSeparator" w:id="0">
    <w:p w:rsidR="003F3347" w:rsidRDefault="003F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47" w:rsidRDefault="003F3347">
      <w:pPr>
        <w:spacing w:after="0" w:line="240" w:lineRule="auto"/>
      </w:pPr>
      <w:r>
        <w:separator/>
      </w:r>
    </w:p>
  </w:footnote>
  <w:footnote w:type="continuationSeparator" w:id="0">
    <w:p w:rsidR="003F3347" w:rsidRDefault="003F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02" w:rsidRDefault="003F334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B05AC5">
      <w:rPr>
        <w:noProof/>
      </w:rPr>
      <w:t>2</w:t>
    </w:r>
    <w:r>
      <w:fldChar w:fldCharType="end"/>
    </w:r>
  </w:p>
  <w:p w:rsidR="004A0C02" w:rsidRDefault="004A0C02">
    <w:pPr>
      <w:pStyle w:val="a7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02" w:rsidRDefault="003F334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B05AC5">
      <w:rPr>
        <w:noProof/>
      </w:rPr>
      <w:t>5</w:t>
    </w:r>
    <w:r>
      <w:fldChar w:fldCharType="end"/>
    </w:r>
  </w:p>
  <w:p w:rsidR="004A0C02" w:rsidRDefault="004A0C02">
    <w:pPr>
      <w:pStyle w:val="a7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02" w:rsidRDefault="004A0C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02"/>
    <w:rsid w:val="003F3347"/>
    <w:rsid w:val="004A0C02"/>
    <w:rsid w:val="00B0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3A3C"/>
  <w15:docId w15:val="{782EA4F4-0E1F-4495-BC0D-67C06468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9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F3211"/>
    <w:pPr>
      <w:widowControl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F3211"/>
    <w:pPr>
      <w:spacing w:beforeAutospacing="1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6F3211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customStyle="1" w:styleId="30">
    <w:name w:val="Заголовок 3 Знак"/>
    <w:link w:val="3"/>
    <w:qFormat/>
    <w:locked/>
    <w:rsid w:val="006F321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31">
    <w:name w:val="Основной текст 3 Знак"/>
    <w:link w:val="32"/>
    <w:qFormat/>
    <w:locked/>
    <w:rsid w:val="006F3211"/>
    <w:rPr>
      <w:rFonts w:ascii="Times New Roman" w:hAnsi="Times New Roman" w:cs="Times New Roman"/>
      <w:b/>
      <w:i/>
      <w:sz w:val="24"/>
      <w:szCs w:val="24"/>
      <w:u w:val="single"/>
      <w:lang w:val="x-none" w:eastAsia="ru-RU"/>
    </w:rPr>
  </w:style>
  <w:style w:type="character" w:customStyle="1" w:styleId="2">
    <w:name w:val="Основной текст 2 Знак"/>
    <w:link w:val="20"/>
    <w:qFormat/>
    <w:locked/>
    <w:rsid w:val="006F3211"/>
    <w:rPr>
      <w:rFonts w:cs="Times New Roman"/>
    </w:rPr>
  </w:style>
  <w:style w:type="character" w:customStyle="1" w:styleId="21">
    <w:name w:val="Основной текст с отступом 2 Знак"/>
    <w:link w:val="22"/>
    <w:qFormat/>
    <w:locked/>
    <w:rsid w:val="006F3211"/>
    <w:rPr>
      <w:rFonts w:cs="Times New Roman"/>
    </w:rPr>
  </w:style>
  <w:style w:type="character" w:customStyle="1" w:styleId="33">
    <w:name w:val="Основной текст с отступом 3 Знак"/>
    <w:link w:val="34"/>
    <w:qFormat/>
    <w:locked/>
    <w:rsid w:val="006F3211"/>
    <w:rPr>
      <w:rFonts w:cs="Times New Roman"/>
      <w:sz w:val="16"/>
      <w:szCs w:val="16"/>
    </w:rPr>
  </w:style>
  <w:style w:type="character" w:customStyle="1" w:styleId="a3">
    <w:name w:val="Цветовое выделение"/>
    <w:qFormat/>
    <w:rsid w:val="006F3211"/>
    <w:rPr>
      <w:b/>
      <w:color w:val="000080"/>
    </w:rPr>
  </w:style>
  <w:style w:type="character" w:customStyle="1" w:styleId="a4">
    <w:name w:val="Заголовок Знак"/>
    <w:link w:val="a5"/>
    <w:qFormat/>
    <w:locked/>
    <w:rsid w:val="006F3211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Верхний колонтитул Знак"/>
    <w:link w:val="a7"/>
    <w:qFormat/>
    <w:locked/>
    <w:rsid w:val="006F3211"/>
    <w:rPr>
      <w:rFonts w:cs="Times New Roman"/>
    </w:rPr>
  </w:style>
  <w:style w:type="character" w:customStyle="1" w:styleId="a8">
    <w:name w:val="Нижний колонтитул Знак"/>
    <w:link w:val="a9"/>
    <w:qFormat/>
    <w:locked/>
    <w:rsid w:val="006F3211"/>
    <w:rPr>
      <w:rFonts w:cs="Times New Roman"/>
    </w:rPr>
  </w:style>
  <w:style w:type="character" w:customStyle="1" w:styleId="aa">
    <w:name w:val="Текст выноски Знак"/>
    <w:link w:val="ab"/>
    <w:semiHidden/>
    <w:qFormat/>
    <w:locked/>
    <w:rsid w:val="006F3211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6F3211"/>
    <w:rPr>
      <w:rFonts w:ascii="Times New Roman" w:hAnsi="Times New Roman"/>
      <w:sz w:val="16"/>
    </w:rPr>
  </w:style>
  <w:style w:type="character" w:customStyle="1" w:styleId="ac">
    <w:name w:val="Основной текст с отступом Знак"/>
    <w:link w:val="ad"/>
    <w:semiHidden/>
    <w:qFormat/>
    <w:locked/>
    <w:rsid w:val="006F3211"/>
    <w:rPr>
      <w:rFonts w:cs="Times New Roman"/>
    </w:rPr>
  </w:style>
  <w:style w:type="character" w:styleId="ae">
    <w:name w:val="Strong"/>
    <w:qFormat/>
    <w:rsid w:val="006F3211"/>
    <w:rPr>
      <w:b/>
    </w:rPr>
  </w:style>
  <w:style w:type="character" w:customStyle="1" w:styleId="af">
    <w:name w:val="Текст концевой сноски Знак"/>
    <w:link w:val="af0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1">
    <w:name w:val="Символ концевой сноски"/>
    <w:semiHidden/>
    <w:qFormat/>
    <w:rsid w:val="006F3211"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af3">
    <w:name w:val="Текст сноски Знак"/>
    <w:link w:val="af4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Символ сноски"/>
    <w:semiHidden/>
    <w:qFormat/>
    <w:rsid w:val="006F3211"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FontStyle21">
    <w:name w:val="Font Style21"/>
    <w:qFormat/>
    <w:rsid w:val="006F3211"/>
    <w:rPr>
      <w:rFonts w:ascii="Times New Roman" w:hAnsi="Times New Roman"/>
      <w:sz w:val="26"/>
    </w:rPr>
  </w:style>
  <w:style w:type="character" w:styleId="af7">
    <w:name w:val="Hyperlink"/>
    <w:rsid w:val="006F3211"/>
    <w:rPr>
      <w:color w:val="0000FF"/>
      <w:u w:val="single"/>
    </w:rPr>
  </w:style>
  <w:style w:type="character" w:customStyle="1" w:styleId="af8">
    <w:name w:val="Гипертекстовая ссылка"/>
    <w:qFormat/>
    <w:rsid w:val="006F3211"/>
    <w:rPr>
      <w:b/>
      <w:color w:val="008000"/>
    </w:rPr>
  </w:style>
  <w:style w:type="character" w:styleId="af9">
    <w:name w:val="annotation reference"/>
    <w:semiHidden/>
    <w:qFormat/>
    <w:rsid w:val="004635D0"/>
    <w:rPr>
      <w:rFonts w:cs="Times New Roman"/>
      <w:sz w:val="16"/>
      <w:szCs w:val="16"/>
    </w:rPr>
  </w:style>
  <w:style w:type="character" w:customStyle="1" w:styleId="afa">
    <w:name w:val="Текст примечания Знак"/>
    <w:link w:val="afb"/>
    <w:semiHidden/>
    <w:qFormat/>
    <w:locked/>
    <w:rsid w:val="004635D0"/>
    <w:rPr>
      <w:rFonts w:cs="Times New Roman"/>
      <w:sz w:val="20"/>
      <w:szCs w:val="20"/>
    </w:rPr>
  </w:style>
  <w:style w:type="character" w:customStyle="1" w:styleId="afc">
    <w:name w:val="Тема примечания Знак"/>
    <w:link w:val="afd"/>
    <w:semiHidden/>
    <w:qFormat/>
    <w:locked/>
    <w:rsid w:val="004635D0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qFormat/>
    <w:rsid w:val="00C1128D"/>
    <w:rPr>
      <w:rFonts w:cs="Times New Roman"/>
    </w:rPr>
  </w:style>
  <w:style w:type="paragraph" w:styleId="a5">
    <w:name w:val="Title"/>
    <w:basedOn w:val="a"/>
    <w:next w:val="afe"/>
    <w:link w:val="a4"/>
    <w:qFormat/>
    <w:rsid w:val="006F3211"/>
    <w:pPr>
      <w:spacing w:after="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32">
    <w:name w:val="Body Text 3"/>
    <w:basedOn w:val="a"/>
    <w:link w:val="31"/>
    <w:qFormat/>
    <w:rsid w:val="006F3211"/>
    <w:pPr>
      <w:keepNext/>
      <w:spacing w:after="0" w:line="240" w:lineRule="auto"/>
      <w:jc w:val="both"/>
    </w:pPr>
    <w:rPr>
      <w:rFonts w:ascii="Times New Roman" w:eastAsia="Calibri" w:hAnsi="Times New Roman"/>
      <w:b/>
      <w:i/>
      <w:sz w:val="28"/>
      <w:szCs w:val="24"/>
      <w:u w:val="single"/>
      <w:lang w:eastAsia="ru-RU"/>
    </w:rPr>
  </w:style>
  <w:style w:type="paragraph" w:styleId="20">
    <w:name w:val="Body Text 2"/>
    <w:basedOn w:val="a"/>
    <w:link w:val="2"/>
    <w:qFormat/>
    <w:rsid w:val="006F3211"/>
    <w:pPr>
      <w:spacing w:after="120" w:line="480" w:lineRule="auto"/>
    </w:pPr>
  </w:style>
  <w:style w:type="paragraph" w:customStyle="1" w:styleId="ConsPlusCell">
    <w:name w:val="ConsPlusCell"/>
    <w:uiPriority w:val="99"/>
    <w:qFormat/>
    <w:rsid w:val="006F3211"/>
    <w:pPr>
      <w:widowControl w:val="0"/>
    </w:pPr>
    <w:rPr>
      <w:rFonts w:cs="Calibri"/>
      <w:sz w:val="22"/>
      <w:szCs w:val="22"/>
    </w:rPr>
  </w:style>
  <w:style w:type="paragraph" w:customStyle="1" w:styleId="aff2">
    <w:name w:val="Нормальный (таблица)"/>
    <w:basedOn w:val="a"/>
    <w:next w:val="a"/>
    <w:qFormat/>
    <w:rsid w:val="006F3211"/>
    <w:pPr>
      <w:widowControl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2">
    <w:name w:val="Body Text Indent 2"/>
    <w:basedOn w:val="a"/>
    <w:link w:val="21"/>
    <w:qFormat/>
    <w:rsid w:val="006F3211"/>
    <w:pPr>
      <w:spacing w:after="120" w:line="480" w:lineRule="auto"/>
      <w:ind w:left="283"/>
    </w:pPr>
  </w:style>
  <w:style w:type="paragraph" w:styleId="34">
    <w:name w:val="Body Text Indent 3"/>
    <w:basedOn w:val="a"/>
    <w:link w:val="33"/>
    <w:qFormat/>
    <w:rsid w:val="006F3211"/>
    <w:pPr>
      <w:spacing w:after="120"/>
      <w:ind w:left="283"/>
    </w:pPr>
    <w:rPr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7">
    <w:name w:val="header"/>
    <w:basedOn w:val="a"/>
    <w:link w:val="a6"/>
    <w:rsid w:val="006F3211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rsid w:val="006F321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a"/>
    <w:semiHidden/>
    <w:qFormat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F3211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6F3211"/>
    <w:pPr>
      <w:widowControl w:val="0"/>
    </w:pPr>
    <w:rPr>
      <w:rFonts w:cs="Calibri"/>
      <w:b/>
      <w:bCs/>
      <w:sz w:val="22"/>
      <w:szCs w:val="22"/>
    </w:rPr>
  </w:style>
  <w:style w:type="paragraph" w:customStyle="1" w:styleId="aff4">
    <w:name w:val="Абзац с отсуп"/>
    <w:basedOn w:val="a"/>
    <w:qFormat/>
    <w:rsid w:val="006F3211"/>
    <w:pPr>
      <w:spacing w:before="120" w:after="0" w:line="360" w:lineRule="exact"/>
      <w:ind w:firstLine="720"/>
      <w:jc w:val="both"/>
    </w:pPr>
    <w:rPr>
      <w:rFonts w:ascii="Times New Roman" w:eastAsia="Calibri" w:hAnsi="Times New Roman"/>
      <w:sz w:val="28"/>
      <w:szCs w:val="28"/>
      <w:lang w:val="en-US" w:eastAsia="ru-RU"/>
    </w:rPr>
  </w:style>
  <w:style w:type="paragraph" w:customStyle="1" w:styleId="11">
    <w:name w:val="Стиль1"/>
    <w:basedOn w:val="a"/>
    <w:qFormat/>
    <w:rsid w:val="006F3211"/>
    <w:pPr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paragraph" w:styleId="aff5">
    <w:name w:val="Normal (Web)"/>
    <w:basedOn w:val="a"/>
    <w:qFormat/>
    <w:rsid w:val="006F3211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6F3211"/>
    <w:pPr>
      <w:ind w:left="720"/>
    </w:pPr>
    <w:rPr>
      <w:rFonts w:eastAsia="Calibri"/>
      <w:lang w:eastAsia="ru-RU"/>
    </w:rPr>
  </w:style>
  <w:style w:type="paragraph" w:styleId="ad">
    <w:name w:val="Body Text Indent"/>
    <w:basedOn w:val="a"/>
    <w:link w:val="ac"/>
    <w:semiHidden/>
    <w:rsid w:val="006F3211"/>
    <w:pPr>
      <w:spacing w:after="120"/>
      <w:ind w:left="283"/>
    </w:pPr>
  </w:style>
  <w:style w:type="paragraph" w:customStyle="1" w:styleId="NormalWeb1">
    <w:name w:val="Normal (Web)1"/>
    <w:basedOn w:val="a"/>
    <w:qFormat/>
    <w:rsid w:val="006F3211"/>
    <w:pPr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Iauiue">
    <w:name w:val="Iau?iue"/>
    <w:qFormat/>
    <w:rsid w:val="006F3211"/>
    <w:rPr>
      <w:rFonts w:ascii="Times New Roman" w:hAnsi="Times New Roman"/>
      <w:lang w:val="en-US"/>
    </w:rPr>
  </w:style>
  <w:style w:type="paragraph" w:customStyle="1" w:styleId="aff6">
    <w:name w:val="Прижатый влево"/>
    <w:basedOn w:val="a"/>
    <w:next w:val="a"/>
    <w:qFormat/>
    <w:rsid w:val="006F3211"/>
    <w:pPr>
      <w:widowControl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6F3211"/>
    <w:pPr>
      <w:widowControl w:val="0"/>
    </w:pPr>
    <w:rPr>
      <w:rFonts w:cs="Calibri"/>
      <w:sz w:val="22"/>
      <w:szCs w:val="22"/>
    </w:rPr>
  </w:style>
  <w:style w:type="paragraph" w:styleId="af0">
    <w:name w:val="endnote text"/>
    <w:basedOn w:val="a"/>
    <w:link w:val="af"/>
    <w:semiHidden/>
    <w:rsid w:val="006F3211"/>
    <w:pPr>
      <w:widowControl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styleId="af4">
    <w:name w:val="footnote text"/>
    <w:basedOn w:val="a"/>
    <w:link w:val="af3"/>
    <w:semiHidden/>
    <w:rsid w:val="006F3211"/>
    <w:pPr>
      <w:widowControl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13">
    <w:name w:val="1"/>
    <w:basedOn w:val="a"/>
    <w:qFormat/>
    <w:rsid w:val="006F3211"/>
    <w:pPr>
      <w:spacing w:beforeAutospacing="1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f7">
    <w:name w:val="Знак Знак Знак Знак Знак Знак"/>
    <w:basedOn w:val="a"/>
    <w:qFormat/>
    <w:rsid w:val="006F3211"/>
    <w:pPr>
      <w:spacing w:beforeAutospacing="1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paragraph" w:styleId="afb">
    <w:name w:val="annotation text"/>
    <w:basedOn w:val="a"/>
    <w:link w:val="afa"/>
    <w:semiHidden/>
    <w:qFormat/>
    <w:rsid w:val="004635D0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b"/>
    <w:next w:val="afb"/>
    <w:link w:val="afc"/>
    <w:semiHidden/>
    <w:qFormat/>
    <w:rsid w:val="004635D0"/>
    <w:rPr>
      <w:b/>
      <w:bCs/>
    </w:rPr>
  </w:style>
  <w:style w:type="paragraph" w:styleId="aff8">
    <w:name w:val="List Paragraph"/>
    <w:basedOn w:val="a"/>
    <w:uiPriority w:val="34"/>
    <w:qFormat/>
    <w:rsid w:val="009B4DF8"/>
    <w:pPr>
      <w:spacing w:after="160" w:line="259" w:lineRule="auto"/>
      <w:ind w:left="720"/>
      <w:contextualSpacing/>
    </w:pPr>
    <w:rPr>
      <w:rFonts w:eastAsia="Calibri"/>
    </w:rPr>
  </w:style>
  <w:style w:type="table" w:styleId="aff9">
    <w:name w:val="Table Grid"/>
    <w:basedOn w:val="a1"/>
    <w:rsid w:val="006F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a">
    <w:name w:val="Table Theme"/>
    <w:basedOn w:val="a1"/>
    <w:rsid w:val="0037105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5166-F2F7-457E-8B6A-2795451B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Наталья</dc:creator>
  <dc:description/>
  <cp:lastModifiedBy>Гостева Ольга Владиславовна</cp:lastModifiedBy>
  <cp:revision>2</cp:revision>
  <cp:lastPrinted>2023-02-16T10:50:00Z</cp:lastPrinted>
  <dcterms:created xsi:type="dcterms:W3CDTF">2024-07-16T08:02:00Z</dcterms:created>
  <dcterms:modified xsi:type="dcterms:W3CDTF">2024-07-16T08:02:00Z</dcterms:modified>
  <dc:language>ru-RU</dc:language>
</cp:coreProperties>
</file>