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89" w:rsidRDefault="0086271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A81B89" w:rsidRDefault="0086271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Проект постановления </w:t>
      </w:r>
    </w:p>
    <w:p w:rsidR="00A81B89" w:rsidRDefault="0086271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A81B89" w:rsidRDefault="00A81B89">
      <w:pPr>
        <w:shd w:val="clear" w:color="auto" w:fill="FFFFFF"/>
        <w:ind w:left="6521" w:right="-1"/>
        <w:rPr>
          <w:spacing w:val="-2"/>
          <w:sz w:val="28"/>
          <w:szCs w:val="28"/>
        </w:rPr>
      </w:pPr>
    </w:p>
    <w:p w:rsidR="00A81B89" w:rsidRDefault="00A81B89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муниципальную программу 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минимизация и (или) ликвидация 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годы»,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утвержденную Постановлением Исполнительного</w:t>
      </w:r>
    </w:p>
    <w:p w:rsidR="00A81B89" w:rsidRDefault="0086271D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комитета от 22.09.2022 № 4954</w:t>
      </w:r>
    </w:p>
    <w:p w:rsidR="00A81B89" w:rsidRDefault="00A81B89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A81B89" w:rsidRDefault="00A81B89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A81B89" w:rsidRDefault="0086271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A81B89" w:rsidRDefault="00A81B89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A81B89" w:rsidRDefault="0086271D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A81B89" w:rsidRDefault="00A81B89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A81B89" w:rsidRDefault="0086271D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</w:t>
      </w:r>
      <w:r>
        <w:rPr>
          <w:spacing w:val="-2"/>
          <w:sz w:val="28"/>
          <w:szCs w:val="28"/>
        </w:rPr>
        <w:t>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», утвержденную Постановлением Исполнительного  комитета от 22.09.2022 № 4954 (в редакции постановлений Исполнительного комитета от 24.03.2023 № 2087, от 07.07.2023 № 5940, от 22.12.2023 № 12418, от 19.03.2024 № 1725, от 19.04.2024 № 2475), изложив главу 8 в новой редакции согласно приложению.</w:t>
      </w:r>
    </w:p>
    <w:p w:rsidR="00A81B89" w:rsidRDefault="0086271D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proofErr w:type="spellStart"/>
      <w:r>
        <w:rPr>
          <w:spacing w:val="2"/>
          <w:sz w:val="28"/>
          <w:szCs w:val="28"/>
          <w:lang w:val="en-US"/>
        </w:rPr>
        <w:t>pr</w:t>
      </w:r>
      <w:proofErr w:type="spellEnd"/>
      <w:r>
        <w:rPr>
          <w:spacing w:val="2"/>
          <w:sz w:val="28"/>
          <w:szCs w:val="28"/>
        </w:rPr>
        <w:t>а</w:t>
      </w:r>
      <w:proofErr w:type="spellStart"/>
      <w:r>
        <w:rPr>
          <w:spacing w:val="2"/>
          <w:sz w:val="28"/>
          <w:szCs w:val="28"/>
          <w:lang w:val="en-US"/>
        </w:rPr>
        <w:t>vo</w:t>
      </w:r>
      <w:proofErr w:type="spellEnd"/>
      <w:r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A81B89" w:rsidRDefault="0086271D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</w:t>
      </w:r>
      <w:proofErr w:type="spellStart"/>
      <w:r>
        <w:rPr>
          <w:sz w:val="28"/>
          <w:szCs w:val="28"/>
        </w:rPr>
        <w:t>Шипееву</w:t>
      </w:r>
      <w:proofErr w:type="spellEnd"/>
      <w:r>
        <w:rPr>
          <w:sz w:val="28"/>
          <w:szCs w:val="28"/>
        </w:rPr>
        <w:t xml:space="preserve"> Р.К.</w:t>
      </w:r>
    </w:p>
    <w:p w:rsidR="00A81B89" w:rsidRDefault="00A81B89">
      <w:pPr>
        <w:shd w:val="clear" w:color="auto" w:fill="FFFFFF"/>
        <w:ind w:right="-1"/>
        <w:jc w:val="both"/>
        <w:rPr>
          <w:sz w:val="28"/>
          <w:szCs w:val="28"/>
        </w:rPr>
      </w:pPr>
    </w:p>
    <w:p w:rsidR="00A81B89" w:rsidRDefault="0086271D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A81B89" w:rsidRDefault="0086271D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Ф.Ш. Салахов</w:t>
      </w:r>
    </w:p>
    <w:p w:rsidR="00A81B89" w:rsidRDefault="00A81B89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A81B89" w:rsidRDefault="0086271D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Нотфуллина</w:t>
      </w:r>
      <w:proofErr w:type="spellEnd"/>
      <w:r>
        <w:rPr>
          <w:rFonts w:eastAsia="Calibri"/>
          <w:lang w:eastAsia="en-US"/>
        </w:rPr>
        <w:t xml:space="preserve"> Н.А.</w:t>
      </w:r>
    </w:p>
    <w:p w:rsidR="00A81B89" w:rsidRDefault="0086271D">
      <w:pPr>
        <w:rPr>
          <w:rFonts w:eastAsia="Calibri"/>
          <w:lang w:eastAsia="en-US"/>
        </w:rPr>
        <w:sectPr w:rsidR="00A81B89">
          <w:pgSz w:w="11906" w:h="16838"/>
          <w:pgMar w:top="1134" w:right="850" w:bottom="1134" w:left="851" w:header="0" w:footer="0" w:gutter="0"/>
          <w:cols w:space="720"/>
          <w:formProt w:val="0"/>
          <w:docGrid w:linePitch="360"/>
        </w:sectPr>
      </w:pPr>
      <w:r>
        <w:rPr>
          <w:rFonts w:eastAsia="Calibri"/>
          <w:lang w:eastAsia="en-US"/>
        </w:rPr>
        <w:t>30 56 77</w:t>
      </w:r>
    </w:p>
    <w:p w:rsidR="00A81B89" w:rsidRDefault="0086271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</w:t>
      </w:r>
    </w:p>
    <w:p w:rsidR="00A81B89" w:rsidRDefault="00A81B89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</w:p>
    <w:p w:rsidR="00A81B89" w:rsidRDefault="0086271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Приложение </w:t>
      </w:r>
    </w:p>
    <w:p w:rsidR="00A81B89" w:rsidRDefault="0086271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A81B89" w:rsidRDefault="0086271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A81B89" w:rsidRDefault="0086271D">
      <w:pPr>
        <w:shd w:val="clear" w:color="auto" w:fill="FFFFFF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2024 № ______</w:t>
      </w:r>
    </w:p>
    <w:p w:rsidR="00A81B89" w:rsidRDefault="00A81B89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A81B89" w:rsidRDefault="00A81B89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A81B89" w:rsidRDefault="0086271D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6200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2978"/>
        <w:gridCol w:w="2977"/>
        <w:gridCol w:w="1419"/>
        <w:gridCol w:w="1841"/>
        <w:gridCol w:w="679"/>
        <w:gridCol w:w="724"/>
        <w:gridCol w:w="690"/>
        <w:gridCol w:w="645"/>
        <w:gridCol w:w="1153"/>
        <w:gridCol w:w="62"/>
        <w:gridCol w:w="1140"/>
        <w:gridCol w:w="1185"/>
      </w:tblGrid>
      <w:tr w:rsidR="00A81B89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A81B89">
        <w:trPr>
          <w:trHeight w:val="227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 w:rsidR="00A81B89">
        <w:trPr>
          <w:jc w:val="center"/>
        </w:trPr>
        <w:tc>
          <w:tcPr>
            <w:tcW w:w="16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 w:rsidR="00A81B89">
        <w:trPr>
          <w:trHeight w:val="323"/>
          <w:jc w:val="center"/>
        </w:trPr>
        <w:tc>
          <w:tcPr>
            <w:tcW w:w="16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попавшими под её влияние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участия в адресных профилактических мероприятиях с лицами категории «особого внимания» (риска)</w:t>
            </w:r>
          </w:p>
          <w:p w:rsidR="00A81B89" w:rsidRDefault="00A81B89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41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84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профориентационной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55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55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810" distB="3810" distL="635" distR="635" simplePos="0" relativeHeight="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0" b="3810"/>
                      <wp:wrapNone/>
                      <wp:docPr id="1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635" distL="3175" distR="3175" simplePos="0" relativeHeight="5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810" b="635"/>
                      <wp:wrapNone/>
                      <wp:docPr id="2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3810" distR="3810" simplePos="0" relativeHeight="6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635"/>
                      <wp:wrapNone/>
                      <wp:docPr id="3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500,0           500,0             500,0 </w:t>
            </w: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информационной политики и по связям 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 w:rsidP="00213432">
            <w:pPr>
              <w:spacing w:line="252" w:lineRule="auto"/>
              <w:ind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Проведение на базе </w:t>
            </w:r>
            <w:r w:rsid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профессиональных </w:t>
            </w:r>
            <w:r w:rsidR="00213432" w:rsidRP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>образовательны</w:t>
            </w:r>
            <w:r w:rsid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>х</w:t>
            </w:r>
            <w:r w:rsidR="00213432" w:rsidRP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организаци</w:t>
            </w:r>
            <w:r w:rsid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й и </w:t>
            </w:r>
            <w:r w:rsidR="00213432" w:rsidRP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>образовательны</w:t>
            </w:r>
            <w:r w:rsid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>х</w:t>
            </w:r>
            <w:r w:rsidR="00213432" w:rsidRP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организаци</w:t>
            </w:r>
            <w:r w:rsid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>й</w:t>
            </w:r>
            <w:r w:rsidR="00213432" w:rsidRP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высшего образования</w:t>
            </w:r>
            <w:r w:rsidR="00213432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  <w:p w:rsidR="00213432" w:rsidRDefault="00213432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213432"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15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32" w:rsidRDefault="0086271D">
            <w:pPr>
              <w:spacing w:line="252" w:lineRule="auto"/>
              <w:ind w:right="0"/>
              <w:jc w:val="center"/>
            </w:pPr>
            <w:r>
              <w:t>Помощник Мэра по противодействию коррупции</w:t>
            </w:r>
          </w:p>
          <w:p w:rsidR="00A81B89" w:rsidRDefault="00213432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213432">
              <w:t>(по согласованию)</w:t>
            </w:r>
            <w:r w:rsidR="0086271D">
              <w:t>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Управление по делам молодёжи Исполнительного комитета, управление образования Исполнительного комитета, 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trHeight w:val="556"/>
          <w:jc w:val="center"/>
        </w:trPr>
        <w:tc>
          <w:tcPr>
            <w:tcW w:w="16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деятельности информационно-пропагандисткой группы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769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5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0" distR="0" simplePos="0" relativeHeight="2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635" distL="3810" distR="3175" simplePos="0" relativeHeight="3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635" distB="635" distL="635" distR="635" simplePos="0" relativeHeight="7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32,0              32,0               32,0   </w:t>
            </w:r>
          </w:p>
          <w:p w:rsidR="00A81B89" w:rsidRDefault="00A81B89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ab/>
            </w:r>
            <w:r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A81B89">
        <w:trPr>
          <w:trHeight w:val="694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5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</w:tr>
      <w:tr w:rsidR="00A81B89">
        <w:trPr>
          <w:trHeight w:val="805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A81B89" w:rsidRDefault="00A81B89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5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</w:tr>
      <w:tr w:rsidR="00A81B89">
        <w:trPr>
          <w:trHeight w:val="844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5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</w:tr>
      <w:tr w:rsidR="00A81B89">
        <w:trPr>
          <w:trHeight w:val="148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before="150" w:after="15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before="150" w:after="15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before="150" w:after="15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before="150" w:after="15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0" distR="0" simplePos="0" relativeHeight="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635" distL="3810" distR="3175" simplePos="0" relativeHeight="9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635" distB="635" distL="635" distR="635" simplePos="0" relativeHeight="10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20,0              20,0               20,0   </w:t>
            </w:r>
          </w:p>
          <w:p w:rsidR="00A81B89" w:rsidRDefault="00A81B89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" distB="635" distL="635" distR="635" simplePos="0" relativeHeight="11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A81B89">
        <w:trPr>
          <w:trHeight w:val="2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2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Подготовка муниципального актива лекторов-пропагандистов для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образования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обученных,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квалифицированных лекторов из числа жителей муниципального образования, чел.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2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217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182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Разработка (подбор) и размещение информации антитеррористического содержания, в том числе видеороликов в муниципальном сегменте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населения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81B89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>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603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конкурса исследовательских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по делам молодёжи Исполнительного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комитета, МАУ «Молодёжный центр «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2023-2025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количество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награждаемых (финансирование подарков), чел.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A81B89">
        <w:trPr>
          <w:trHeight w:val="2415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/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81B89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112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медиабезопасности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в образовательных организациях занятий по разъяснению основ законодательства в сфере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межнациональных и межконфессиональных отношений</w:t>
            </w:r>
          </w:p>
          <w:p w:rsidR="00A81B89" w:rsidRDefault="00A81B89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 w:rsidR="00A81B89" w:rsidRDefault="00A81B89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 w:rsidR="00A81B89" w:rsidRDefault="00A81B89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25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муниципальное бюджетное учреждение "Центр молодежных (студенческих) формирований по охране общественного порядка "ФОРПОСТ"</w:t>
            </w:r>
          </w:p>
          <w:p w:rsidR="00A81B89" w:rsidRDefault="00A81B89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25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профилактики экстремизма и формирования толерантности в подростковой молодёжной среде</w:t>
            </w:r>
          </w:p>
          <w:p w:rsidR="00A81B89" w:rsidRDefault="00A81B89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296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</w:t>
            </w:r>
            <w:r w:rsidR="009614B8">
              <w:rPr>
                <w:rFonts w:eastAsia="Calibri"/>
                <w:sz w:val="21"/>
                <w:szCs w:val="21"/>
                <w:lang w:eastAsia="en-US"/>
              </w:rPr>
              <w:t>профессиональных</w:t>
            </w:r>
            <w:r w:rsidR="009614B8" w:rsidRPr="009614B8">
              <w:rPr>
                <w:rFonts w:eastAsia="Calibri"/>
                <w:sz w:val="21"/>
                <w:szCs w:val="21"/>
                <w:lang w:eastAsia="en-US"/>
              </w:rPr>
              <w:t xml:space="preserve"> образовательны</w:t>
            </w:r>
            <w:r w:rsidR="009614B8">
              <w:rPr>
                <w:rFonts w:eastAsia="Calibri"/>
                <w:sz w:val="21"/>
                <w:szCs w:val="21"/>
                <w:lang w:eastAsia="en-US"/>
              </w:rPr>
              <w:t xml:space="preserve">х организаций и </w:t>
            </w:r>
            <w:r w:rsidR="009614B8" w:rsidRPr="009614B8">
              <w:rPr>
                <w:rFonts w:eastAsia="Calibri"/>
                <w:sz w:val="21"/>
                <w:szCs w:val="21"/>
                <w:lang w:eastAsia="en-US"/>
              </w:rPr>
              <w:t>образовательны</w:t>
            </w:r>
            <w:r w:rsidR="009614B8">
              <w:rPr>
                <w:rFonts w:eastAsia="Calibri"/>
                <w:sz w:val="21"/>
                <w:szCs w:val="21"/>
                <w:lang w:eastAsia="en-US"/>
              </w:rPr>
              <w:t>х</w:t>
            </w:r>
            <w:r w:rsidR="009614B8" w:rsidRPr="009614B8">
              <w:rPr>
                <w:rFonts w:eastAsia="Calibri"/>
                <w:sz w:val="21"/>
                <w:szCs w:val="21"/>
                <w:lang w:eastAsia="en-US"/>
              </w:rPr>
              <w:t xml:space="preserve"> организаци</w:t>
            </w:r>
            <w:r w:rsidR="009614B8">
              <w:rPr>
                <w:rFonts w:eastAsia="Calibri"/>
                <w:sz w:val="21"/>
                <w:szCs w:val="21"/>
                <w:lang w:eastAsia="en-US"/>
              </w:rPr>
              <w:t>й</w:t>
            </w:r>
            <w:r w:rsidR="009614B8" w:rsidRPr="009614B8">
              <w:rPr>
                <w:rFonts w:eastAsia="Calibri"/>
                <w:sz w:val="21"/>
                <w:szCs w:val="21"/>
                <w:lang w:eastAsia="en-US"/>
              </w:rPr>
              <w:t xml:space="preserve"> высшего образования</w:t>
            </w:r>
          </w:p>
          <w:p w:rsidR="00A81B89" w:rsidRDefault="00A81B89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2966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hyperlink r:id="rId4" w:anchor="10222" w:history="1">
              <w:r>
                <w:rPr>
                  <w:rFonts w:eastAsia="Calibri"/>
                  <w:color w:val="000000"/>
                  <w:sz w:val="21"/>
                  <w:szCs w:val="21"/>
                  <w:lang w:eastAsia="en-US"/>
                </w:rPr>
  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</w:t>
              </w:r>
              <w:proofErr w:type="spellStart"/>
              <w:r>
                <w:rPr>
                  <w:rFonts w:eastAsia="Calibri"/>
                  <w:color w:val="000000"/>
                  <w:sz w:val="21"/>
                  <w:szCs w:val="21"/>
                  <w:lang w:eastAsia="en-US"/>
                </w:rPr>
                <w:t>общепрофилактических</w:t>
              </w:r>
              <w:proofErr w:type="spellEnd"/>
              <w:r>
                <w:rPr>
                  <w:rFonts w:eastAsia="Calibri"/>
                  <w:color w:val="000000"/>
                  <w:sz w:val="21"/>
                  <w:szCs w:val="21"/>
                  <w:lang w:eastAsia="en-US"/>
                </w:rPr>
                <w:t>, адресных, индивидуальных и информационно-пропагандистских мероприятий.</w:t>
              </w:r>
            </w:hyperlink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t xml:space="preserve">Помощник Мэра по противодействию коррупции (по согласованию), 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>количество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jc w:val="center"/>
        </w:trPr>
        <w:tc>
          <w:tcPr>
            <w:tcW w:w="16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 w:rsidR="00A81B89">
        <w:trPr>
          <w:trHeight w:val="345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40.</w:t>
            </w:r>
          </w:p>
          <w:p w:rsidR="00A81B89" w:rsidRDefault="00A81B89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Вневедомственная охрана и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содержание кнопки</w:t>
            </w:r>
          </w:p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образования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обеспеченность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общеобразовательных организаций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Муниципальный бюджет</w:t>
            </w:r>
          </w:p>
        </w:tc>
      </w:tr>
      <w:tr w:rsidR="00A81B89">
        <w:trPr>
          <w:trHeight w:val="1950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</w:tr>
      <w:tr w:rsidR="00A81B89">
        <w:trPr>
          <w:trHeight w:val="360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tabs>
                <w:tab w:val="left" w:pos="319"/>
              </w:tabs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/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84  915,11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84 234,03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84  234,03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A81B89" w:rsidRDefault="0086271D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12 006,34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14 697,40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14 697,40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обеспеченность учреждений культуры 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9 266,42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10 679,99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10 679,99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A81B89" w:rsidRDefault="0086271D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12 520,94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</w:tr>
      <w:tr w:rsidR="00A81B89">
        <w:trPr>
          <w:trHeight w:val="69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pStyle w:val="1"/>
              <w:widowControl w:val="0"/>
              <w:shd w:val="clear" w:color="auto" w:fill="FFFFFF"/>
              <w:spacing w:before="0" w:after="0"/>
              <w:jc w:val="both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</w:t>
            </w:r>
          </w:p>
          <w:p w:rsidR="00A81B89" w:rsidRDefault="0086271D">
            <w:pPr>
              <w:pStyle w:val="1"/>
              <w:widowControl w:val="0"/>
              <w:shd w:val="clear" w:color="auto" w:fill="FFFFFF"/>
              <w:spacing w:before="0" w:after="0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№ 272 </w:t>
            </w:r>
            <w:r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47.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 w:rsidP="009614B8">
            <w:pPr>
              <w:spacing w:line="252" w:lineRule="auto"/>
              <w:ind w:right="0"/>
              <w:jc w:val="both"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</w:t>
            </w:r>
            <w:hyperlink r:id="rId5" w:anchor="101" w:history="1">
              <w:r>
                <w:rPr>
                  <w:rStyle w:val="a5"/>
                  <w:rFonts w:eastAsia="Calibri"/>
                  <w:color w:val="000000"/>
                  <w:sz w:val="21"/>
                  <w:szCs w:val="21"/>
                  <w:lang w:eastAsia="en-US"/>
                </w:rPr>
                <w:t>1</w:t>
              </w:r>
            </w:hyperlink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с освещением их в средствах массовой информации и информационно-телекоммуникационной сети "Интернет". </w:t>
            </w:r>
            <w:r w:rsidR="009614B8">
              <w:rPr>
                <w:rFonts w:eastAsia="Calibri"/>
                <w:color w:val="000000"/>
                <w:sz w:val="21"/>
                <w:szCs w:val="21"/>
                <w:lang w:eastAsia="en-US"/>
              </w:rPr>
              <w:t>П</w:t>
            </w: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районов,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A81B89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trHeight w:val="1935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lastRenderedPageBreak/>
              <w:t>49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 w:rsidP="009614B8">
            <w:pPr>
              <w:spacing w:line="252" w:lineRule="auto"/>
              <w:ind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</w:t>
            </w:r>
            <w:r w:rsidR="009614B8">
              <w:rPr>
                <w:rFonts w:eastAsia="Calibri"/>
                <w:color w:val="000000"/>
                <w:sz w:val="21"/>
                <w:szCs w:val="21"/>
                <w:lang w:eastAsia="en-US"/>
              </w:rPr>
              <w:t>я</w:t>
            </w:r>
            <w:bookmarkStart w:id="0" w:name="_GoBack"/>
            <w:bookmarkEnd w:id="0"/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line="252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 w:rsidR="00A81B89" w:rsidRDefault="0086271D">
            <w:pPr>
              <w:spacing w:line="252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t xml:space="preserve">финансирование не требуется  </w:t>
            </w:r>
          </w:p>
        </w:tc>
      </w:tr>
      <w:tr w:rsidR="00A81B89">
        <w:trPr>
          <w:jc w:val="center"/>
        </w:trPr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180 043,24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184 180,02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89" w:rsidRDefault="0086271D">
            <w:pPr>
              <w:spacing w:after="200" w:line="252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184 180,02</w:t>
            </w:r>
          </w:p>
        </w:tc>
      </w:tr>
    </w:tbl>
    <w:p w:rsidR="00A81B89" w:rsidRDefault="00A81B89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A81B89" w:rsidRDefault="00A81B89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A81B89" w:rsidRDefault="0086271D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 w:rsidR="00A81B89" w:rsidRDefault="0086271D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 w:rsidR="00A81B89" w:rsidRDefault="0086271D">
      <w:pPr>
        <w:widowControl/>
        <w:tabs>
          <w:tab w:val="left" w:pos="9923"/>
        </w:tabs>
        <w:ind w:righ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</w:t>
      </w:r>
      <w:r>
        <w:rPr>
          <w:rFonts w:eastAsia="Calibri"/>
          <w:sz w:val="24"/>
          <w:szCs w:val="24"/>
          <w:lang w:eastAsia="en-US"/>
        </w:rPr>
        <w:tab/>
        <w:t xml:space="preserve">   Н.И. </w:t>
      </w:r>
      <w:proofErr w:type="spellStart"/>
      <w:r>
        <w:rPr>
          <w:rFonts w:eastAsia="Calibri"/>
          <w:sz w:val="24"/>
          <w:szCs w:val="24"/>
          <w:lang w:eastAsia="en-US"/>
        </w:rPr>
        <w:t>Галиева</w:t>
      </w:r>
      <w:proofErr w:type="spellEnd"/>
    </w:p>
    <w:sectPr w:rsidR="00A81B89">
      <w:pgSz w:w="16838" w:h="11906" w:orient="landscape"/>
      <w:pgMar w:top="85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89"/>
    <w:rsid w:val="00213432"/>
    <w:rsid w:val="0086271D"/>
    <w:rsid w:val="009614B8"/>
    <w:rsid w:val="00A8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A04B"/>
  <w15:docId w15:val="{8EE847AD-E7EB-4970-8591-F34AAC68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pPr>
      <w:widowControl/>
      <w:spacing w:before="280" w:after="280"/>
      <w:ind w:right="0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qFormat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8366785/" TargetMode="External"/><Relationship Id="rId4" Type="http://schemas.openxmlformats.org/officeDocument/2006/relationships/hyperlink" Target="https://www.garant.ru/products/ipo/prime/doc/4083667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dc:description/>
  <cp:lastModifiedBy>Гостева Ольга Владиславовна</cp:lastModifiedBy>
  <cp:revision>2</cp:revision>
  <cp:lastPrinted>2023-03-06T08:10:00Z</cp:lastPrinted>
  <dcterms:created xsi:type="dcterms:W3CDTF">2024-07-16T05:57:00Z</dcterms:created>
  <dcterms:modified xsi:type="dcterms:W3CDTF">2024-07-16T05:57:00Z</dcterms:modified>
  <dc:language>ru-RU</dc:language>
</cp:coreProperties>
</file>