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eastAsia="zh-CN" w:bidi="hi-IN"/>
        </w:rPr>
        <w:t>Контактные лица для направления</w:t>
      </w:r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eastAsia="zh-CN" w:bidi="hi-IN"/>
        </w:rPr>
        <w:t>замечаний и предложений:</w:t>
      </w:r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eastAsia="zh-CN" w:bidi="hi-IN"/>
        </w:rPr>
        <w:t>Хусаинов Айрат Шавкатович</w:t>
      </w:r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eastAsia="zh-CN" w:bidi="hi-IN"/>
        </w:rPr>
        <w:t>Зам. начальника отдела инвестиционной политики и целевых программ</w:t>
      </w:r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eastAsia="zh-CN" w:bidi="hi-IN"/>
        </w:rPr>
        <w:t>Телефон: +7 (843) 221-76-29</w:t>
      </w:r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eastAsia="zh-CN" w:bidi="hi-IN"/>
        </w:rPr>
        <w:t xml:space="preserve">Email: </w:t>
      </w:r>
      <w:bookmarkStart w:id="0" w:name="_GoBack"/>
      <w:r>
        <w:rPr>
          <w:rFonts w:eastAsia="Tahoma" w:cs="Noto Sans Devanagari"/>
          <w:color w:val="000000"/>
          <w:sz w:val="28"/>
          <w:lang w:eastAsia="zh-CN" w:bidi="hi-IN"/>
        </w:rPr>
        <w:t>Ayrat.Husainov@tatar</w:t>
      </w:r>
      <w:r>
        <w:rPr>
          <w:rFonts w:eastAsia="Tahoma" w:cs="Noto Sans Devanagari"/>
          <w:color w:val="000000"/>
          <w:sz w:val="28"/>
          <w:lang w:val="en-US" w:eastAsia="zh-CN" w:bidi="hi-IN"/>
        </w:rPr>
        <w:t>stan</w:t>
      </w:r>
      <w:r>
        <w:rPr>
          <w:rFonts w:eastAsia="Tahoma" w:cs="Noto Sans Devanagari"/>
          <w:color w:val="000000"/>
          <w:sz w:val="28"/>
          <w:lang w:eastAsia="zh-CN" w:bidi="hi-IN"/>
        </w:rPr>
        <w:t>.ru</w:t>
      </w:r>
      <w:bookmarkEnd w:id="0"/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eastAsia="zh-CN" w:bidi="hi-IN"/>
        </w:rPr>
        <w:t>Калимуллин Ильнар Ирекович</w:t>
      </w:r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eastAsia="zh-CN" w:bidi="hi-IN"/>
        </w:rPr>
        <w:t>Начальник юридического отдела</w:t>
      </w:r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eastAsia="zh-CN" w:bidi="hi-IN"/>
        </w:rPr>
        <w:t>Телефон: +7 (843) 221-76-14</w:t>
      </w:r>
    </w:p>
    <w:p>
      <w:pPr>
        <w:widowControl w:val="0"/>
        <w:suppressAutoHyphens/>
        <w:ind w:left="4962" w:right="-2"/>
        <w:jc w:val="right"/>
        <w:rPr>
          <w:rFonts w:eastAsia="Tahoma" w:cs="Noto Sans Devanagari"/>
          <w:color w:val="000000"/>
          <w:sz w:val="28"/>
          <w:lang w:eastAsia="zh-CN" w:bidi="hi-IN"/>
        </w:rPr>
      </w:pPr>
      <w:r>
        <w:rPr>
          <w:rFonts w:eastAsia="Tahoma" w:cs="Noto Sans Devanagari"/>
          <w:color w:val="000000"/>
          <w:sz w:val="28"/>
          <w:lang w:val="en-US" w:eastAsia="zh-CN" w:bidi="hi-IN"/>
        </w:rPr>
        <w:t>E</w:t>
      </w:r>
      <w:r>
        <w:rPr>
          <w:rFonts w:eastAsia="Tahoma" w:cs="Noto Sans Devanagari"/>
          <w:color w:val="000000"/>
          <w:sz w:val="28"/>
          <w:lang w:eastAsia="zh-CN" w:bidi="hi-IN"/>
        </w:rPr>
        <w:t>-</w:t>
      </w:r>
      <w:r>
        <w:rPr>
          <w:rFonts w:eastAsia="Tahoma" w:cs="Noto Sans Devanagari"/>
          <w:color w:val="000000"/>
          <w:sz w:val="28"/>
          <w:lang w:val="en-US" w:eastAsia="zh-CN" w:bidi="hi-IN"/>
        </w:rPr>
        <w:t>mail</w:t>
      </w:r>
      <w:r>
        <w:rPr>
          <w:rFonts w:eastAsia="Tahoma" w:cs="Noto Sans Devanagari"/>
          <w:color w:val="000000"/>
          <w:sz w:val="28"/>
          <w:lang w:eastAsia="zh-CN" w:bidi="hi-IN"/>
        </w:rPr>
        <w:t xml:space="preserve">: </w:t>
      </w:r>
      <w:r>
        <w:rPr>
          <w:rFonts w:eastAsia="Tahoma" w:cs="Noto Sans Devanagari"/>
          <w:color w:val="000000"/>
          <w:sz w:val="28"/>
          <w:lang w:val="en-US" w:eastAsia="zh-CN" w:bidi="hi-IN"/>
        </w:rPr>
        <w:t>Ilnar</w:t>
      </w:r>
      <w:r>
        <w:rPr>
          <w:rFonts w:eastAsia="Tahoma" w:cs="Noto Sans Devanagari"/>
          <w:color w:val="000000"/>
          <w:sz w:val="28"/>
          <w:lang w:eastAsia="zh-CN" w:bidi="hi-IN"/>
        </w:rPr>
        <w:t>.</w:t>
      </w:r>
      <w:r>
        <w:rPr>
          <w:rFonts w:eastAsia="Tahoma" w:cs="Noto Sans Devanagari"/>
          <w:color w:val="000000"/>
          <w:sz w:val="28"/>
          <w:lang w:val="en-US" w:eastAsia="zh-CN" w:bidi="hi-IN"/>
        </w:rPr>
        <w:t>Kalimullin</w:t>
      </w:r>
      <w:r>
        <w:rPr>
          <w:rFonts w:eastAsia="Tahoma" w:cs="Noto Sans Devanagari"/>
          <w:color w:val="000000"/>
          <w:sz w:val="28"/>
          <w:lang w:eastAsia="zh-CN" w:bidi="hi-IN"/>
        </w:rPr>
        <w:t>@</w:t>
      </w:r>
      <w:r>
        <w:rPr>
          <w:rFonts w:eastAsia="Tahoma" w:cs="Noto Sans Devanagari"/>
          <w:color w:val="000000"/>
          <w:sz w:val="28"/>
          <w:lang w:val="en-US" w:eastAsia="zh-CN" w:bidi="hi-IN"/>
        </w:rPr>
        <w:t>tatar</w:t>
      </w:r>
      <w:r>
        <w:rPr>
          <w:rFonts w:eastAsia="Tahoma" w:cs="Noto Sans Devanagari"/>
          <w:color w:val="000000"/>
          <w:sz w:val="28"/>
          <w:lang w:eastAsia="zh-CN" w:bidi="hi-IN"/>
        </w:rPr>
        <w:t>.</w:t>
      </w:r>
      <w:r>
        <w:rPr>
          <w:rFonts w:eastAsia="Tahoma" w:cs="Noto Sans Devanagari"/>
          <w:color w:val="000000"/>
          <w:sz w:val="28"/>
          <w:lang w:val="en-US" w:eastAsia="zh-CN" w:bidi="hi-IN"/>
        </w:rPr>
        <w:t>ru</w:t>
      </w:r>
    </w:p>
    <w:p>
      <w:pPr>
        <w:ind w:right="5102"/>
        <w:contextualSpacing/>
        <w:jc w:val="both"/>
        <w:rPr>
          <w:sz w:val="28"/>
          <w:szCs w:val="28"/>
        </w:rPr>
      </w:pPr>
    </w:p>
    <w:p>
      <w:pPr>
        <w:pStyle w:val="20"/>
        <w:shd w:val="clear" w:color="auto" w:fill="auto"/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Внести в перечень проектов по комплексному развитию сельских                 территорий Республики Татарстан, подлежащих реализации в 2024 году в рамках государственной программы Российской Федерации «Комплексное развитие            сельских территорий», утвержденной постановлением Правительства Российской Федерации от 31 мая 2019 г.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                    утвержденный распоряжением Кабинета Министров Республики Татарстан                   от 22.04.2024 № 871-р, следующие изменения:</w:t>
      </w:r>
    </w:p>
    <w:p>
      <w:pPr>
        <w:pStyle w:val="20"/>
        <w:shd w:val="clear" w:color="auto" w:fill="auto"/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в графе 2 пункта 2.2.1 слова «Строительство линии» заменить словом               «Линия»;</w:t>
      </w:r>
    </w:p>
    <w:p>
      <w:pPr>
        <w:pStyle w:val="20"/>
        <w:shd w:val="clear" w:color="auto" w:fill="auto"/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в графе 2 пункта  2.2.2 слова «Строительство линии» исключить;</w:t>
      </w:r>
    </w:p>
    <w:p>
      <w:pPr>
        <w:pStyle w:val="20"/>
        <w:shd w:val="clear" w:color="auto" w:fill="auto"/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в графе 2 пункта  2.2.3 слово «Строительство» исключить.</w:t>
      </w:r>
    </w:p>
    <w:p>
      <w:pPr>
        <w:pStyle w:val="20"/>
        <w:shd w:val="clear" w:color="auto" w:fill="auto"/>
        <w:spacing w:line="360" w:lineRule="auto"/>
        <w:ind w:firstLine="743"/>
        <w:jc w:val="both"/>
        <w:rPr>
          <w:sz w:val="28"/>
          <w:szCs w:val="28"/>
        </w:rPr>
      </w:pP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>
      <w:pPr>
        <w:pStyle w:val="20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>
      <w:pPr>
        <w:pStyle w:val="20"/>
        <w:shd w:val="clear" w:color="auto" w:fill="auto"/>
        <w:tabs>
          <w:tab w:val="left" w:pos="793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        А.В.Песошин</w:t>
      </w:r>
    </w:p>
    <w:p>
      <w:pPr>
        <w:pStyle w:val="20"/>
        <w:shd w:val="clear" w:color="auto" w:fill="auto"/>
        <w:tabs>
          <w:tab w:val="left" w:pos="7930"/>
        </w:tabs>
        <w:spacing w:line="276" w:lineRule="auto"/>
        <w:jc w:val="both"/>
        <w:rPr>
          <w:sz w:val="28"/>
          <w:szCs w:val="28"/>
        </w:rPr>
      </w:pPr>
    </w:p>
    <w:p>
      <w:pPr>
        <w:pStyle w:val="20"/>
        <w:shd w:val="clear" w:color="auto" w:fill="auto"/>
        <w:tabs>
          <w:tab w:val="left" w:pos="7930"/>
        </w:tabs>
        <w:spacing w:line="276" w:lineRule="auto"/>
        <w:jc w:val="both"/>
        <w:rPr>
          <w:sz w:val="28"/>
          <w:szCs w:val="28"/>
        </w:rPr>
      </w:pPr>
    </w:p>
    <w:p>
      <w:pPr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распоряжения Кабинета Министров Республики Татарстан 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распоряжение Кабинета Министров Республики Татарстан от 22.04.2024 № 871-р»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распоряжения Кабинета Министров Республики Татарстан           «О внесении изменений в распоряжение Кабинета Министров Республики Татарстан от 22.04.2024 № 871-р» разработан в связи с обращением           Министерства строительства, архитектуры и жилищно-коммунального хозяйства </w:t>
      </w:r>
      <w:r>
        <w:rPr>
          <w:color w:val="000000"/>
          <w:sz w:val="28"/>
        </w:rPr>
        <w:t>Республики Татарстан» о</w:t>
      </w:r>
      <w:r>
        <w:rPr>
          <w:sz w:val="28"/>
          <w:szCs w:val="28"/>
        </w:rPr>
        <w:t xml:space="preserve"> необходимости уточнения наименования объектов, выполняемых в рамках Соглашения о предоставлении субсидии из федерального бюджета бюджету Республики Татарстан от 28.12.2023                 № 082-09-2024-752 (далее - Соглашение). Изменения вносятся в наименования в части исключения вида работ «Строительство» по следующим объектам:</w:t>
      </w:r>
    </w:p>
    <w:p>
      <w:pPr>
        <w:suppressAutoHyphens/>
        <w:spacing w:line="276" w:lineRule="auto"/>
        <w:ind w:firstLine="743"/>
        <w:jc w:val="both"/>
        <w:rPr>
          <w:sz w:val="28"/>
        </w:rPr>
      </w:pPr>
      <w:r>
        <w:rPr>
          <w:sz w:val="28"/>
          <w:szCs w:val="28"/>
        </w:rPr>
        <w:t>«Линия освещения по ул.Ленина в г.Мамадыш, Мамадышский муниципальный район, Республика Татарстан»;</w:t>
      </w:r>
    </w:p>
    <w:p>
      <w:pPr>
        <w:widowControl w:val="0"/>
        <w:suppressAutoHyphens/>
        <w:spacing w:line="276" w:lineRule="auto"/>
        <w:ind w:firstLine="743"/>
        <w:jc w:val="both"/>
        <w:rPr>
          <w:sz w:val="26"/>
          <w:szCs w:val="26"/>
        </w:rPr>
      </w:pPr>
      <w:r>
        <w:rPr>
          <w:sz w:val="28"/>
          <w:szCs w:val="28"/>
        </w:rPr>
        <w:t>«ВОЛС по адресу: пгт.Рыбная Слобода, ул.Октябрьская»;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«ВОЛС до «Молодежного центра», пгт.Рыбная Слобода, ул.Сююмбике».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Финансирование указанных объектов, Минсельхозом России отнесено к объёмам финансового обеспечения расходных обязательств субъекта Российской Федерации, не связанных с осуществлением капитальных вложений в объекты капитального строительства, софинансируемых из федерального бюджета в соответствии с  Приложением №1 к Соглашению. 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Соответствующие изменения внесены дополнительным соглашением </w:t>
      </w:r>
      <w:r>
        <w:rPr>
          <w:sz w:val="28"/>
          <w:szCs w:val="28"/>
        </w:rPr>
        <w:t>№ 082-09-2024-752/2 от 17.07.2024.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При этом, изменения в части приведения в соответствие объёмов финансирования согласно дополнительного соглашения № 082-09-2024-752/2 от 26.04.2024 планируется внести после завершения строительно-монтажных работ в декабре текущего года. 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Проект распоряжения Кабинета Министров Республики Татарстан не повлечет увеличения общей суммы финансирования, предусмотренного Соглашением.</w:t>
      </w:r>
    </w:p>
    <w:p>
      <w:pPr>
        <w:tabs>
          <w:tab w:val="left" w:pos="900"/>
          <w:tab w:val="left" w:pos="1080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</w:p>
    <w:p>
      <w:pPr>
        <w:pStyle w:val="20"/>
        <w:shd w:val="clear" w:color="auto" w:fill="auto"/>
        <w:tabs>
          <w:tab w:val="left" w:pos="7930"/>
        </w:tabs>
        <w:spacing w:line="276" w:lineRule="auto"/>
        <w:jc w:val="both"/>
        <w:rPr>
          <w:sz w:val="28"/>
          <w:szCs w:val="28"/>
        </w:rPr>
      </w:pPr>
    </w:p>
    <w:sectPr>
      <w:headerReference w:type="default" r:id="rId7"/>
      <w:pgSz w:w="11906" w:h="16838"/>
      <w:pgMar w:top="709" w:right="707" w:bottom="1021" w:left="1134" w:header="28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27E2B-7731-43DB-B87C-25801895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Ñòèëü1 Знак"/>
    <w:basedOn w:val="a0"/>
    <w:link w:val="11"/>
    <w:qFormat/>
    <w:rPr>
      <w:sz w:val="28"/>
    </w:rPr>
  </w:style>
  <w:style w:type="character" w:customStyle="1" w:styleId="a3">
    <w:name w:val="МФ РТ Знак"/>
    <w:basedOn w:val="10"/>
    <w:link w:val="a4"/>
    <w:qFormat/>
    <w:rPr>
      <w:sz w:val="28"/>
      <w:lang w:val="en-US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qFormat/>
  </w:style>
  <w:style w:type="character" w:customStyle="1" w:styleId="12">
    <w:name w:val="Стиль1 Знак"/>
    <w:link w:val="13"/>
    <w:qFormat/>
    <w:rPr>
      <w:sz w:val="28"/>
    </w:rPr>
  </w:style>
  <w:style w:type="character" w:customStyle="1" w:styleId="aa">
    <w:name w:val="Основной текст с отступом Знак"/>
    <w:basedOn w:val="a0"/>
    <w:link w:val="ab"/>
    <w:qFormat/>
    <w:rPr>
      <w:sz w:val="24"/>
      <w:szCs w:val="24"/>
    </w:rPr>
  </w:style>
  <w:style w:type="character" w:customStyle="1" w:styleId="2">
    <w:name w:val="Основной текст (2)_"/>
    <w:basedOn w:val="a0"/>
    <w:link w:val="20"/>
    <w:qFormat/>
    <w:rPr>
      <w:sz w:val="26"/>
      <w:szCs w:val="26"/>
      <w:shd w:val="clear" w:color="auto" w:fill="FFFFFF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Колонтитул"/>
    <w:basedOn w:val="a"/>
    <w:qFormat/>
  </w:style>
  <w:style w:type="paragraph" w:styleId="a9">
    <w:name w:val="header"/>
    <w:basedOn w:val="a"/>
    <w:link w:val="a8"/>
    <w:uiPriority w:val="99"/>
    <w:pPr>
      <w:tabs>
        <w:tab w:val="center" w:pos="4536"/>
        <w:tab w:val="right" w:pos="9072"/>
      </w:tabs>
    </w:pPr>
  </w:style>
  <w:style w:type="paragraph" w:styleId="af2">
    <w:name w:val="footer"/>
    <w:basedOn w:val="a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0"/>
    <w:qFormat/>
    <w:pPr>
      <w:spacing w:line="288" w:lineRule="auto"/>
    </w:pPr>
    <w:rPr>
      <w:sz w:val="28"/>
    </w:rPr>
  </w:style>
  <w:style w:type="paragraph" w:customStyle="1" w:styleId="a4">
    <w:name w:val="МФ РТ"/>
    <w:basedOn w:val="11"/>
    <w:link w:val="a3"/>
    <w:qFormat/>
    <w:pPr>
      <w:ind w:right="142" w:firstLine="709"/>
    </w:pPr>
    <w:rPr>
      <w:lang w:val="en-US"/>
    </w:rPr>
  </w:style>
  <w:style w:type="paragraph" w:styleId="a7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link w:val="12"/>
    <w:qFormat/>
    <w:pPr>
      <w:spacing w:line="288" w:lineRule="auto"/>
    </w:pPr>
    <w:rPr>
      <w:sz w:val="2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 Indent"/>
    <w:basedOn w:val="a"/>
    <w:link w:val="aa"/>
    <w:unhideWhenUsed/>
    <w:pPr>
      <w:spacing w:after="120"/>
      <w:ind w:left="283"/>
    </w:pPr>
    <w:rPr>
      <w:sz w:val="24"/>
      <w:szCs w:val="24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table" w:styleId="af5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145D-A93D-4F0C-BE3A-012E72B4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user</dc:creator>
  <dc:description/>
  <cp:lastModifiedBy>YuristMCX</cp:lastModifiedBy>
  <cp:revision>2</cp:revision>
  <cp:lastPrinted>2021-09-16T10:46:00Z</cp:lastPrinted>
  <dcterms:created xsi:type="dcterms:W3CDTF">2024-08-09T11:46:00Z</dcterms:created>
  <dcterms:modified xsi:type="dcterms:W3CDTF">2024-08-09T11:46:00Z</dcterms:modified>
  <dc:language>ru-RU</dc:language>
</cp:coreProperties>
</file>