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6D" w:rsidRDefault="00035EF3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проект</w:t>
      </w:r>
    </w:p>
    <w:p w:rsidR="00242C6D" w:rsidRDefault="00035EF3">
      <w:pPr>
        <w:shd w:val="clear" w:color="auto" w:fill="FFFFFF"/>
        <w:ind w:left="10" w:right="-1"/>
        <w:jc w:val="center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>ПОСТАНОВЛЕНИЕ</w:t>
      </w:r>
    </w:p>
    <w:p w:rsidR="00242C6D" w:rsidRDefault="00035E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242C6D" w:rsidRDefault="00035EF3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</w:t>
      </w:r>
      <w:r>
        <w:rPr>
          <w:sz w:val="28"/>
          <w:szCs w:val="28"/>
        </w:rPr>
        <w:t>обеспечение безопасности на водных объектах на 2025-2027 годы»</w:t>
      </w:r>
    </w:p>
    <w:p w:rsidR="00242C6D" w:rsidRDefault="00242C6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242C6D" w:rsidRDefault="00242C6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242C6D" w:rsidRDefault="00035EF3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</w:t>
      </w:r>
      <w:r>
        <w:rPr>
          <w:sz w:val="28"/>
          <w:szCs w:val="28"/>
        </w:rPr>
        <w:t xml:space="preserve">ра», Федеральным законом от 12.02.1998 № 28-ФЗ «О гражданской обороне», Федеральным законом от 06.10.2003 № 131-ФЗ «Об общих принципах организации местного </w:t>
      </w:r>
      <w:bookmarkStart w:id="0" w:name="_GoBack"/>
      <w:r>
        <w:rPr>
          <w:sz w:val="28"/>
          <w:szCs w:val="28"/>
        </w:rPr>
        <w:t xml:space="preserve">самоуправления в Российской Федерации», статьёй 41 Устава города, </w:t>
      </w:r>
      <w:bookmarkEnd w:id="0"/>
      <w:r>
        <w:rPr>
          <w:sz w:val="28"/>
          <w:szCs w:val="28"/>
        </w:rPr>
        <w:t>постановлением Исполнительного ком</w:t>
      </w:r>
      <w:r>
        <w:rPr>
          <w:sz w:val="28"/>
          <w:szCs w:val="28"/>
        </w:rPr>
        <w:t>итета от 11.09.2017 № 5326 «Об утверждении порядка разработки, реализации и оценки эффективности муниципальных программ»</w:t>
      </w:r>
    </w:p>
    <w:p w:rsidR="00242C6D" w:rsidRDefault="00242C6D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</w:p>
    <w:p w:rsidR="00242C6D" w:rsidRDefault="00242C6D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</w:p>
    <w:p w:rsidR="00242C6D" w:rsidRDefault="00035EF3">
      <w:pPr>
        <w:tabs>
          <w:tab w:val="left" w:pos="0"/>
          <w:tab w:val="left" w:pos="10066"/>
        </w:tabs>
        <w:ind w:right="-14"/>
        <w:jc w:val="center"/>
        <w:rPr>
          <w:sz w:val="28"/>
          <w:szCs w:val="28"/>
        </w:rPr>
      </w:pPr>
      <w:r>
        <w:rPr>
          <w:sz w:val="28"/>
        </w:rPr>
        <w:t>ПОСТАНОВЛЯЮ:</w:t>
      </w:r>
    </w:p>
    <w:p w:rsidR="00242C6D" w:rsidRDefault="00242C6D">
      <w:pPr>
        <w:pStyle w:val="af1"/>
        <w:jc w:val="both"/>
        <w:rPr>
          <w:sz w:val="28"/>
          <w:szCs w:val="28"/>
        </w:rPr>
      </w:pPr>
    </w:p>
    <w:p w:rsidR="00242C6D" w:rsidRDefault="00035EF3">
      <w:pPr>
        <w:pStyle w:val="af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«Совершенствование системы гражданской обороны, защиты населения и территории муни</w:t>
      </w:r>
      <w:r>
        <w:rPr>
          <w:sz w:val="28"/>
          <w:szCs w:val="28"/>
        </w:rPr>
        <w:t>ципального образования город Набережные Челны от чрезвычайных ситуаций и обеспечение безопасности на водных объектах на 2025-2027 годы» согласно приложению.</w:t>
      </w:r>
    </w:p>
    <w:p w:rsidR="00242C6D" w:rsidRDefault="00035EF3">
      <w:pPr>
        <w:pStyle w:val="af1"/>
        <w:ind w:firstLine="426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 Управлению финансов Исполнительного комитета обеспечить финансирование программы, указанной в пу</w:t>
      </w:r>
      <w:r>
        <w:rPr>
          <w:sz w:val="28"/>
          <w:szCs w:val="28"/>
        </w:rPr>
        <w:t>нкте 1 настоящего постановления, за счет средств, предусмотренных в бюджете муниципального образования «город Набережные Челны» по разделам (подразделам) 01.13 «Другие общегосударственные вопросы», 03.10 «Защита населения и территории от чрезвычайных ситуа</w:t>
      </w:r>
      <w:r>
        <w:rPr>
          <w:sz w:val="28"/>
          <w:szCs w:val="28"/>
        </w:rPr>
        <w:t xml:space="preserve">ций природного и техногенного характера, пожарная безопасность», 04.06 «Водное хозяйство», в 2025 году – </w:t>
      </w:r>
      <w:r>
        <w:rPr>
          <w:sz w:val="28"/>
          <w:szCs w:val="28"/>
        </w:rPr>
        <w:t>3 039,30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в 2026 году – </w:t>
      </w:r>
      <w:r>
        <w:rPr>
          <w:sz w:val="28"/>
          <w:szCs w:val="28"/>
        </w:rPr>
        <w:t xml:space="preserve">3 039,30 </w:t>
      </w:r>
      <w:r>
        <w:rPr>
          <w:sz w:val="28"/>
          <w:szCs w:val="28"/>
        </w:rPr>
        <w:t xml:space="preserve">тыс. рублей, в 2027 году – </w:t>
      </w:r>
      <w:r>
        <w:rPr>
          <w:sz w:val="28"/>
          <w:szCs w:val="28"/>
        </w:rPr>
        <w:t>3 039,30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рублей».</w:t>
      </w:r>
    </w:p>
    <w:p w:rsidR="00242C6D" w:rsidRDefault="00035EF3">
      <w:pPr>
        <w:pStyle w:val="af1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3. Управлению делопроизводством Исполнительного комитет</w:t>
      </w:r>
      <w:r>
        <w:rPr>
          <w:spacing w:val="2"/>
          <w:sz w:val="28"/>
          <w:szCs w:val="28"/>
        </w:rPr>
        <w:t>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>
        <w:rPr>
          <w:spacing w:val="2"/>
          <w:sz w:val="28"/>
          <w:szCs w:val="28"/>
          <w:lang w:val="en-US"/>
        </w:rPr>
        <w:t>pr</w:t>
      </w:r>
      <w:proofErr w:type="spellEnd"/>
      <w:r w:rsidRPr="00035EF3">
        <w:rPr>
          <w:spacing w:val="2"/>
          <w:sz w:val="28"/>
          <w:szCs w:val="28"/>
        </w:rPr>
        <w:t>а</w:t>
      </w:r>
      <w:proofErr w:type="spellStart"/>
      <w:r>
        <w:rPr>
          <w:spacing w:val="2"/>
          <w:sz w:val="28"/>
          <w:szCs w:val="28"/>
          <w:lang w:val="en-US"/>
        </w:rPr>
        <w:t>vo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tatarstan</w:t>
      </w:r>
      <w:proofErr w:type="spellEnd"/>
      <w:r>
        <w:rPr>
          <w:spacing w:val="2"/>
          <w:sz w:val="28"/>
          <w:szCs w:val="28"/>
        </w:rPr>
        <w:t>.</w:t>
      </w:r>
      <w:proofErr w:type="spellStart"/>
      <w:r>
        <w:rPr>
          <w:spacing w:val="2"/>
          <w:sz w:val="28"/>
          <w:szCs w:val="28"/>
          <w:lang w:val="en-US"/>
        </w:rPr>
        <w:t>ru</w:t>
      </w:r>
      <w:proofErr w:type="spellEnd"/>
      <w:r>
        <w:rPr>
          <w:spacing w:val="2"/>
          <w:sz w:val="28"/>
          <w:szCs w:val="28"/>
        </w:rPr>
        <w:t>), на официальном сайте города Набережные Челны в сети «Интернет».</w:t>
      </w:r>
    </w:p>
    <w:p w:rsidR="00242C6D" w:rsidRDefault="00035EF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настоящег</w:t>
      </w:r>
      <w:r>
        <w:rPr>
          <w:sz w:val="28"/>
          <w:szCs w:val="28"/>
        </w:rPr>
        <w:t xml:space="preserve">о постановления возложить на заведующего сектором гражданской обороны и защиты населения Исполнительного комитета </w:t>
      </w:r>
      <w:proofErr w:type="spellStart"/>
      <w:r>
        <w:rPr>
          <w:sz w:val="28"/>
          <w:szCs w:val="28"/>
        </w:rPr>
        <w:t>Шипееву</w:t>
      </w:r>
      <w:proofErr w:type="spellEnd"/>
      <w:r>
        <w:rPr>
          <w:sz w:val="28"/>
          <w:szCs w:val="28"/>
        </w:rPr>
        <w:t xml:space="preserve"> Р.К.</w:t>
      </w:r>
    </w:p>
    <w:p w:rsidR="00242C6D" w:rsidRDefault="00242C6D">
      <w:pPr>
        <w:pStyle w:val="af1"/>
        <w:jc w:val="both"/>
        <w:rPr>
          <w:sz w:val="28"/>
          <w:szCs w:val="28"/>
        </w:rPr>
      </w:pPr>
    </w:p>
    <w:p w:rsidR="00242C6D" w:rsidRDefault="00242C6D">
      <w:pPr>
        <w:pStyle w:val="af1"/>
        <w:jc w:val="both"/>
        <w:rPr>
          <w:sz w:val="28"/>
          <w:szCs w:val="28"/>
        </w:rPr>
      </w:pPr>
    </w:p>
    <w:p w:rsidR="00242C6D" w:rsidRDefault="00035EF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242C6D" w:rsidRDefault="00035EF3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Ф.Ш. Салахов</w:t>
      </w:r>
      <w:r>
        <w:br w:type="page"/>
      </w:r>
    </w:p>
    <w:p w:rsidR="00242C6D" w:rsidRDefault="00035EF3">
      <w:pPr>
        <w:pStyle w:val="1"/>
        <w:ind w:left="5664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242C6D" w:rsidRDefault="00035EF3">
      <w:pPr>
        <w:shd w:val="clear" w:color="auto" w:fill="FFFFFF"/>
        <w:ind w:left="566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42C6D" w:rsidRDefault="00035EF3">
      <w:pPr>
        <w:shd w:val="clear" w:color="auto" w:fill="FFFFFF"/>
        <w:ind w:left="5664"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242C6D" w:rsidRDefault="00035EF3">
      <w:pPr>
        <w:shd w:val="clear" w:color="auto" w:fill="FFFFFF"/>
        <w:ind w:left="5664" w:right="-1"/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_______2024 №___</w:t>
      </w:r>
    </w:p>
    <w:p w:rsidR="00242C6D" w:rsidRDefault="00242C6D">
      <w:pPr>
        <w:shd w:val="clear" w:color="auto" w:fill="FFFFFF"/>
        <w:ind w:left="5664" w:right="-1" w:firstLine="550"/>
        <w:jc w:val="both"/>
        <w:rPr>
          <w:sz w:val="28"/>
          <w:szCs w:val="28"/>
        </w:rPr>
      </w:pPr>
    </w:p>
    <w:p w:rsidR="00242C6D" w:rsidRDefault="00242C6D">
      <w:pPr>
        <w:shd w:val="clear" w:color="auto" w:fill="FFFFFF"/>
        <w:ind w:left="5664" w:right="-1" w:firstLine="550"/>
        <w:jc w:val="both"/>
        <w:rPr>
          <w:sz w:val="28"/>
          <w:szCs w:val="28"/>
        </w:rPr>
      </w:pPr>
    </w:p>
    <w:p w:rsidR="00242C6D" w:rsidRDefault="00035EF3">
      <w:pPr>
        <w:ind w:right="-1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</w:t>
      </w:r>
      <w:r>
        <w:rPr>
          <w:sz w:val="28"/>
          <w:szCs w:val="28"/>
        </w:rPr>
        <w:t>ций и обеспечение безопасности на водных объектах на 2025-2027 годы»</w:t>
      </w:r>
    </w:p>
    <w:p w:rsidR="00242C6D" w:rsidRDefault="00242C6D">
      <w:pPr>
        <w:ind w:right="-17"/>
        <w:jc w:val="center"/>
      </w:pPr>
    </w:p>
    <w:p w:rsidR="00242C6D" w:rsidRDefault="00035EF3">
      <w:pPr>
        <w:spacing w:before="120" w:after="120"/>
        <w:ind w:right="-1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Глава 1. Паспорт программы</w:t>
      </w:r>
    </w:p>
    <w:p w:rsidR="00242C6D" w:rsidRDefault="00242C6D">
      <w:pPr>
        <w:spacing w:before="120" w:after="120"/>
        <w:ind w:right="-14"/>
        <w:jc w:val="center"/>
        <w:rPr>
          <w:bCs/>
          <w:sz w:val="28"/>
          <w:szCs w:val="28"/>
        </w:rPr>
      </w:pPr>
    </w:p>
    <w:tbl>
      <w:tblPr>
        <w:tblW w:w="100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77"/>
        <w:gridCol w:w="1987"/>
        <w:gridCol w:w="1134"/>
        <w:gridCol w:w="1226"/>
        <w:gridCol w:w="8"/>
        <w:gridCol w:w="1318"/>
        <w:gridCol w:w="1544"/>
      </w:tblGrid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</w:pPr>
            <w:r>
              <w:rPr>
                <w:spacing w:val="-2"/>
              </w:rPr>
              <w:t xml:space="preserve">Муниципальная программа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природного и техногенного характера </w:t>
            </w:r>
            <w:r>
              <w:t>и происшествий на водных объектах</w:t>
            </w:r>
            <w:r>
              <w:rPr>
                <w:spacing w:val="-2"/>
              </w:rPr>
              <w:t xml:space="preserve"> на 2025–2</w:t>
            </w:r>
            <w:r>
              <w:rPr>
                <w:spacing w:val="-2"/>
              </w:rPr>
              <w:t>027 годы» (далее - программа)</w:t>
            </w:r>
          </w:p>
          <w:p w:rsidR="00242C6D" w:rsidRDefault="00242C6D">
            <w:pPr>
              <w:widowControl w:val="0"/>
              <w:ind w:right="-1"/>
              <w:jc w:val="both"/>
            </w:pPr>
          </w:p>
        </w:tc>
      </w:tr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Основание для разработки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Федеральный закон от 12.02.1998 № 28-ФЗ «О </w:t>
            </w:r>
            <w:r>
              <w:rPr>
                <w:spacing w:val="-2"/>
              </w:rPr>
              <w:t>гражданской обороне»;</w:t>
            </w:r>
          </w:p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242C6D" w:rsidRDefault="00242C6D">
            <w:pPr>
              <w:widowControl w:val="0"/>
              <w:ind w:right="-1"/>
              <w:jc w:val="both"/>
            </w:pPr>
          </w:p>
        </w:tc>
      </w:tr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Основные разработчики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 Исполнительного комитета.</w:t>
            </w:r>
          </w:p>
          <w:p w:rsidR="00242C6D" w:rsidRDefault="00242C6D">
            <w:pPr>
              <w:widowControl w:val="0"/>
              <w:ind w:right="-1"/>
              <w:jc w:val="both"/>
            </w:pPr>
          </w:p>
        </w:tc>
      </w:tr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Испо</w:t>
            </w:r>
            <w:r>
              <w:rPr>
                <w:spacing w:val="-2"/>
              </w:rPr>
              <w:t>лнители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 Исполнительного комитета, управление городского хозяйства и жизнеобеспечения населения Исполнительного комитета, управление образования Исполнительного комитета.</w:t>
            </w:r>
          </w:p>
          <w:p w:rsidR="00242C6D" w:rsidRDefault="00242C6D">
            <w:pPr>
              <w:widowControl w:val="0"/>
              <w:ind w:right="-1"/>
              <w:jc w:val="both"/>
            </w:pPr>
          </w:p>
        </w:tc>
      </w:tr>
      <w:tr w:rsidR="00242C6D">
        <w:trPr>
          <w:trHeight w:val="13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Цели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Повышение защ</w:t>
            </w:r>
            <w:r>
              <w:rPr>
                <w:spacing w:val="-2"/>
              </w:rPr>
              <w:t>ищенности населения, территорий и объектов инфраструктуры города Набережные Челны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</w:t>
            </w:r>
            <w:r>
              <w:rPr>
                <w:spacing w:val="-2"/>
              </w:rPr>
              <w:t>ости людей на водных объектах.</w:t>
            </w:r>
          </w:p>
          <w:p w:rsidR="00242C6D" w:rsidRDefault="00242C6D">
            <w:pPr>
              <w:widowControl w:val="0"/>
              <w:ind w:right="-1"/>
              <w:jc w:val="both"/>
            </w:pPr>
          </w:p>
        </w:tc>
      </w:tr>
      <w:tr w:rsidR="00242C6D">
        <w:trPr>
          <w:trHeight w:val="135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Задачи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-  организация и осуществление мероприятий по гражданской обороне, защите населения и территории города от чрезвычайных ситуаций природного и техногенного характера;</w:t>
            </w:r>
          </w:p>
          <w:p w:rsidR="00242C6D" w:rsidRDefault="00035EF3">
            <w:pPr>
              <w:widowControl w:val="0"/>
              <w:ind w:right="-1"/>
              <w:rPr>
                <w:spacing w:val="-2"/>
              </w:rPr>
            </w:pPr>
            <w:r>
              <w:rPr>
                <w:spacing w:val="-2"/>
              </w:rPr>
              <w:t xml:space="preserve">- организация работы по снижению </w:t>
            </w:r>
            <w:r>
              <w:rPr>
                <w:spacing w:val="-2"/>
              </w:rPr>
              <w:t>количества людей, погибших на водных объектах.</w:t>
            </w:r>
          </w:p>
          <w:p w:rsidR="00242C6D" w:rsidRDefault="00242C6D">
            <w:pPr>
              <w:widowControl w:val="0"/>
              <w:ind w:right="-1"/>
            </w:pPr>
          </w:p>
        </w:tc>
      </w:tr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Сроки и этапы реализации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spacing w:val="-2"/>
              </w:rPr>
            </w:pPr>
            <w:r>
              <w:rPr>
                <w:spacing w:val="-2"/>
              </w:rPr>
              <w:t xml:space="preserve">     1 этап – 2025 год;</w:t>
            </w:r>
          </w:p>
          <w:p w:rsidR="00242C6D" w:rsidRDefault="00035EF3">
            <w:pPr>
              <w:widowControl w:val="0"/>
              <w:ind w:right="-1" w:firstLine="273"/>
              <w:rPr>
                <w:spacing w:val="-2"/>
              </w:rPr>
            </w:pPr>
            <w:r>
              <w:rPr>
                <w:spacing w:val="-2"/>
              </w:rPr>
              <w:t>2 этап – 2026 год,</w:t>
            </w:r>
          </w:p>
          <w:p w:rsidR="00242C6D" w:rsidRDefault="00035EF3">
            <w:pPr>
              <w:widowControl w:val="0"/>
              <w:ind w:right="-1" w:firstLine="273"/>
              <w:rPr>
                <w:spacing w:val="-2"/>
              </w:rPr>
            </w:pPr>
            <w:r>
              <w:rPr>
                <w:spacing w:val="-2"/>
              </w:rPr>
              <w:t>3 этап – 2027 год.</w:t>
            </w:r>
          </w:p>
          <w:p w:rsidR="00242C6D" w:rsidRDefault="00242C6D">
            <w:pPr>
              <w:widowControl w:val="0"/>
              <w:ind w:right="-1" w:firstLine="273"/>
            </w:pPr>
          </w:p>
        </w:tc>
      </w:tr>
      <w:tr w:rsidR="00242C6D">
        <w:trPr>
          <w:trHeight w:val="22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Объемы и источники </w:t>
            </w:r>
            <w:r>
              <w:rPr>
                <w:spacing w:val="-2"/>
              </w:rPr>
              <w:lastRenderedPageBreak/>
              <w:t>финансирования программы</w:t>
            </w:r>
          </w:p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Источники </w:t>
            </w:r>
            <w:r>
              <w:rPr>
                <w:spacing w:val="-2"/>
              </w:rPr>
              <w:lastRenderedPageBreak/>
              <w:t>финансирования</w:t>
            </w:r>
          </w:p>
          <w:p w:rsidR="00242C6D" w:rsidRDefault="00242C6D">
            <w:pPr>
              <w:widowControl w:val="0"/>
              <w:ind w:right="-1"/>
              <w:jc w:val="both"/>
              <w:rPr>
                <w:spacing w:val="-2"/>
              </w:rPr>
            </w:pPr>
          </w:p>
        </w:tc>
        <w:tc>
          <w:tcPr>
            <w:tcW w:w="5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Годы реализации </w:t>
            </w:r>
            <w:r>
              <w:rPr>
                <w:spacing w:val="-2"/>
              </w:rPr>
              <w:t xml:space="preserve">программы, </w:t>
            </w:r>
            <w:proofErr w:type="spellStart"/>
            <w:r>
              <w:rPr>
                <w:spacing w:val="-2"/>
              </w:rPr>
              <w:t>тыс.руб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42C6D">
        <w:trPr>
          <w:trHeight w:val="58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both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</w:pPr>
          </w:p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2026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</w:pPr>
          </w:p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2027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Всего за период реализации</w:t>
            </w:r>
          </w:p>
        </w:tc>
      </w:tr>
      <w:tr w:rsidR="00242C6D">
        <w:trPr>
          <w:trHeight w:val="484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both"/>
              <w:rPr>
                <w:spacing w:val="-2"/>
              </w:rPr>
            </w:pPr>
            <w:r>
              <w:rPr>
                <w:spacing w:val="-2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9 117,90</w:t>
            </w:r>
          </w:p>
        </w:tc>
      </w:tr>
      <w:tr w:rsidR="00242C6D">
        <w:trPr>
          <w:trHeight w:val="19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242C6D">
        <w:trPr>
          <w:trHeight w:val="34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242C6D">
        <w:trPr>
          <w:trHeight w:val="345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</w:tr>
      <w:tr w:rsidR="00242C6D">
        <w:trPr>
          <w:trHeight w:val="404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spacing w:val="-2"/>
              </w:rPr>
            </w:pPr>
            <w:r>
              <w:rPr>
                <w:spacing w:val="-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3 039,30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9 </w:t>
            </w:r>
            <w:r>
              <w:rPr>
                <w:spacing w:val="-2"/>
              </w:rPr>
              <w:t>117,90</w:t>
            </w:r>
          </w:p>
        </w:tc>
      </w:tr>
      <w:tr w:rsidR="00242C6D"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pStyle w:val="ad"/>
              <w:widowControl w:val="0"/>
              <w:shd w:val="clear" w:color="auto" w:fill="FFFFFF"/>
              <w:tabs>
                <w:tab w:val="left" w:pos="540"/>
              </w:tabs>
              <w:suppressAutoHyphens w:val="0"/>
              <w:spacing w:before="0" w:after="0" w:line="27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>- отсутствие на территории города чрезвычайных ситуаций природного и техногенного характера с гибелью людей;</w:t>
            </w:r>
          </w:p>
          <w:p w:rsidR="00242C6D" w:rsidRDefault="00035EF3">
            <w:pPr>
              <w:pStyle w:val="ad"/>
              <w:widowControl w:val="0"/>
              <w:shd w:val="clear" w:color="auto" w:fill="FFFFFF"/>
              <w:tabs>
                <w:tab w:val="left" w:pos="540"/>
              </w:tabs>
              <w:suppressAutoHyphens w:val="0"/>
              <w:spacing w:before="0" w:after="0" w:line="27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- повышение оперативности реагирования на возникающие чрезвычайные </w:t>
            </w:r>
            <w:r>
              <w:rPr>
                <w:spacing w:val="-2"/>
              </w:rPr>
              <w:t>ситуации;</w:t>
            </w:r>
          </w:p>
          <w:p w:rsidR="00242C6D" w:rsidRDefault="00035EF3">
            <w:pPr>
              <w:pStyle w:val="ad"/>
              <w:widowControl w:val="0"/>
              <w:shd w:val="clear" w:color="auto" w:fill="FFFFFF"/>
              <w:tabs>
                <w:tab w:val="left" w:pos="540"/>
              </w:tabs>
              <w:suppressAutoHyphens w:val="0"/>
              <w:spacing w:before="0" w:after="0" w:line="270" w:lineRule="atLeast"/>
              <w:jc w:val="both"/>
            </w:pPr>
            <w:r>
              <w:t>- повышение эффективности сил и средств ликвидации чрезвычайных ситуаций, тушения пожаров, поиска и спасания людей на водных объектах;</w:t>
            </w:r>
          </w:p>
          <w:p w:rsidR="00242C6D" w:rsidRDefault="00035EF3">
            <w:pPr>
              <w:pStyle w:val="ad"/>
              <w:widowControl w:val="0"/>
              <w:shd w:val="clear" w:color="auto" w:fill="FFFFFF"/>
              <w:tabs>
                <w:tab w:val="left" w:pos="540"/>
              </w:tabs>
              <w:suppressAutoHyphens w:val="0"/>
              <w:spacing w:before="0" w:after="0" w:line="270" w:lineRule="atLeast"/>
              <w:jc w:val="both"/>
            </w:pPr>
            <w:r>
              <w:t>- обеспечение действенных результатов в области обучения населения гражданской обороне, предупреждения и ликвид</w:t>
            </w:r>
            <w:r>
              <w:t>ации чрезвычайных ситуаций, мерам пожарной безопасности и безопасности на воде</w:t>
            </w:r>
            <w:r>
              <w:rPr>
                <w:spacing w:val="-2"/>
              </w:rPr>
              <w:t>.</w:t>
            </w:r>
          </w:p>
        </w:tc>
      </w:tr>
      <w:tr w:rsidR="00242C6D">
        <w:trPr>
          <w:trHeight w:val="1236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Система организации контроля за выполнением программы</w:t>
            </w:r>
          </w:p>
        </w:tc>
        <w:tc>
          <w:tcPr>
            <w:tcW w:w="7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pStyle w:val="ad"/>
              <w:widowControl w:val="0"/>
              <w:shd w:val="clear" w:color="auto" w:fill="FFFFFF"/>
              <w:spacing w:before="0" w:after="0" w:line="27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Исполнитель мероприятий программы несет ответственность за качественное и своевременное их выполнение, рациональное </w:t>
            </w:r>
            <w:r>
              <w:rPr>
                <w:spacing w:val="-2"/>
              </w:rPr>
              <w:t>использование выделяемых финансовых средств.</w:t>
            </w:r>
          </w:p>
        </w:tc>
      </w:tr>
    </w:tbl>
    <w:p w:rsidR="00242C6D" w:rsidRDefault="00035EF3">
      <w:pPr>
        <w:pStyle w:val="ConsPlusNormal"/>
        <w:widowControl/>
        <w:spacing w:before="240" w:after="240"/>
        <w:ind w:left="357" w:firstLine="0"/>
        <w:jc w:val="center"/>
        <w:outlineLvl w:val="1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Обоснование необходимости принятия программы</w:t>
      </w:r>
    </w:p>
    <w:p w:rsidR="00242C6D" w:rsidRDefault="00035EF3">
      <w:pPr>
        <w:pStyle w:val="af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направлена на повышение уровня </w:t>
      </w:r>
      <w:r>
        <w:rPr>
          <w:bCs/>
          <w:color w:val="000000"/>
          <w:sz w:val="28"/>
          <w:szCs w:val="28"/>
        </w:rPr>
        <w:t>защиты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</w:t>
      </w:r>
      <w:r>
        <w:rPr>
          <w:color w:val="000000"/>
          <w:sz w:val="28"/>
          <w:szCs w:val="28"/>
        </w:rPr>
        <w:t xml:space="preserve">чрезвычайных </w:t>
      </w:r>
      <w:r>
        <w:rPr>
          <w:bCs/>
          <w:color w:val="000000"/>
          <w:sz w:val="28"/>
          <w:szCs w:val="28"/>
        </w:rPr>
        <w:t>ситуаций</w:t>
      </w:r>
      <w:r>
        <w:rPr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</w:t>
      </w:r>
      <w:r>
        <w:rPr>
          <w:color w:val="000000"/>
          <w:sz w:val="28"/>
          <w:szCs w:val="28"/>
        </w:rPr>
        <w:t xml:space="preserve">объектов экономики </w:t>
      </w:r>
      <w:r>
        <w:rPr>
          <w:sz w:val="28"/>
          <w:szCs w:val="28"/>
        </w:rPr>
        <w:t>города Набережные Челны</w:t>
      </w:r>
      <w:r>
        <w:rPr>
          <w:color w:val="000000"/>
          <w:sz w:val="28"/>
          <w:szCs w:val="28"/>
        </w:rPr>
        <w:t>.</w:t>
      </w:r>
    </w:p>
    <w:p w:rsidR="00242C6D" w:rsidRDefault="00035EF3">
      <w:pPr>
        <w:pStyle w:val="af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</w:t>
      </w:r>
      <w:r>
        <w:rPr>
          <w:color w:val="000000"/>
          <w:sz w:val="28"/>
          <w:szCs w:val="28"/>
        </w:rPr>
        <w:t>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242C6D" w:rsidRDefault="00035EF3">
      <w:pPr>
        <w:pStyle w:val="af1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муниципальн</w:t>
      </w:r>
      <w:r>
        <w:rPr>
          <w:color w:val="000000"/>
          <w:sz w:val="28"/>
          <w:szCs w:val="28"/>
        </w:rPr>
        <w:t>ого образования город Набережные Челны возможны чрезвычайные ситуации как природного, так и техногенного характера, которые могут привести к значительному материальному и социальному ущербу.</w:t>
      </w:r>
    </w:p>
    <w:p w:rsidR="00242C6D" w:rsidRDefault="00035EF3">
      <w:pPr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Опасные природные явления включают в себя опасные гидрометеоролог</w:t>
      </w:r>
      <w:r>
        <w:rPr>
          <w:color w:val="000000"/>
          <w:sz w:val="28"/>
          <w:szCs w:val="28"/>
        </w:rPr>
        <w:t xml:space="preserve">ические явления (подтопления, связанные с весенним половодьем и дождевыми паводками, сильные ветры, сильный мороз, сильные метели, град, засуха), опасные </w:t>
      </w:r>
      <w:r>
        <w:rPr>
          <w:color w:val="000000"/>
          <w:sz w:val="28"/>
          <w:szCs w:val="28"/>
        </w:rPr>
        <w:lastRenderedPageBreak/>
        <w:t xml:space="preserve">геологические процессы – природные лесные пожары. Из всех перечисленных стихийных бедствий наибольшую </w:t>
      </w:r>
      <w:r>
        <w:rPr>
          <w:color w:val="000000"/>
          <w:sz w:val="28"/>
          <w:szCs w:val="28"/>
        </w:rPr>
        <w:t xml:space="preserve">опасность для населения и территорий представляют подтопления, сильные ветры и природные пожары. </w:t>
      </w:r>
    </w:p>
    <w:p w:rsidR="00242C6D" w:rsidRDefault="00035EF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на территории города пожароопасных и взрывоопасных производств, объектов энергетики и жилищно-коммунального хозяйства свидетельствует о возможности в</w:t>
      </w:r>
      <w:r>
        <w:rPr>
          <w:color w:val="000000"/>
          <w:sz w:val="28"/>
          <w:szCs w:val="28"/>
        </w:rPr>
        <w:t xml:space="preserve">озникновения чрезвычайных ситуаций техногенного характера. </w:t>
      </w:r>
    </w:p>
    <w:p w:rsidR="00242C6D" w:rsidRDefault="00035E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Причинами гибели людей на водных объектах на территории города Набережные Челны является:</w:t>
      </w:r>
    </w:p>
    <w:p w:rsidR="00242C6D" w:rsidRDefault="00035E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людей в не оборудованных для этих целей местах;</w:t>
      </w:r>
    </w:p>
    <w:p w:rsidR="00242C6D" w:rsidRDefault="00035E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или отдых у водоемов в состоянии ал</w:t>
      </w:r>
      <w:r>
        <w:rPr>
          <w:sz w:val="28"/>
          <w:szCs w:val="28"/>
        </w:rPr>
        <w:t>когольного и наркотического опьянения;</w:t>
      </w:r>
    </w:p>
    <w:p w:rsidR="00242C6D" w:rsidRDefault="00035E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неумение детей плавать;</w:t>
      </w:r>
    </w:p>
    <w:p w:rsidR="00242C6D" w:rsidRDefault="00035E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купание детей без присмотра родителей;</w:t>
      </w:r>
    </w:p>
    <w:p w:rsidR="00242C6D" w:rsidRDefault="00035E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несоблюдение элементарных норм безопасности на водоемах, установленных правилами охраны жизни людей на воде.</w:t>
      </w:r>
    </w:p>
    <w:p w:rsidR="00242C6D" w:rsidRDefault="00035EF3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указанных проблем в сфере </w:t>
      </w:r>
      <w:r>
        <w:rPr>
          <w:sz w:val="28"/>
          <w:szCs w:val="28"/>
        </w:rPr>
        <w:t>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</w:t>
      </w:r>
      <w:r>
        <w:rPr>
          <w:sz w:val="28"/>
          <w:szCs w:val="28"/>
        </w:rPr>
        <w:t xml:space="preserve"> системной работы по формированию культуры безопасного поведения у населения.</w:t>
      </w:r>
    </w:p>
    <w:p w:rsidR="00242C6D" w:rsidRDefault="00035EF3">
      <w:pPr>
        <w:pStyle w:val="ConsPlusNormal"/>
        <w:widowControl/>
        <w:spacing w:before="240" w:after="240"/>
        <w:ind w:left="35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Цели и задачи, индикаторы</w:t>
      </w:r>
    </w:p>
    <w:p w:rsidR="00242C6D" w:rsidRDefault="00035EF3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программы является повышение защищенности населения, территорий и объектов инфраструктуры города Набережные Челны от чрезвычайных ситуац</w:t>
      </w:r>
      <w:r>
        <w:rPr>
          <w:rFonts w:ascii="Times New Roman" w:hAnsi="Times New Roman" w:cs="Times New Roman"/>
          <w:sz w:val="28"/>
          <w:szCs w:val="28"/>
        </w:rPr>
        <w:t>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</w:r>
    </w:p>
    <w:p w:rsidR="00242C6D" w:rsidRDefault="00035EF3">
      <w:pPr>
        <w:pStyle w:val="ConsPlusNormal"/>
        <w:widowControl/>
        <w:ind w:firstLine="0"/>
        <w:jc w:val="both"/>
        <w:outlineLvl w:val="1"/>
        <w:rPr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Задачами программы являются:</w:t>
      </w:r>
    </w:p>
    <w:p w:rsidR="00242C6D" w:rsidRDefault="00035EF3">
      <w:pPr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-  организация и осуществление мероприятий </w:t>
      </w:r>
      <w:r>
        <w:rPr>
          <w:spacing w:val="-2"/>
          <w:sz w:val="28"/>
          <w:szCs w:val="28"/>
        </w:rPr>
        <w:t>по гражданской обороне, защите населения и территорий города от чрезвычайных ситуаций природного и техногенного характера;</w:t>
      </w:r>
    </w:p>
    <w:p w:rsidR="00242C6D" w:rsidRDefault="00035EF3">
      <w:pPr>
        <w:ind w:right="-1"/>
        <w:jc w:val="both"/>
        <w:rPr>
          <w:sz w:val="28"/>
          <w:szCs w:val="28"/>
        </w:rPr>
        <w:sectPr w:rsidR="00242C6D">
          <w:pgSz w:w="11906" w:h="16838"/>
          <w:pgMar w:top="760" w:right="709" w:bottom="380" w:left="1134" w:header="0" w:footer="0" w:gutter="0"/>
          <w:cols w:space="720"/>
          <w:formProt w:val="0"/>
          <w:docGrid w:linePitch="381"/>
        </w:sectPr>
      </w:pPr>
      <w:r>
        <w:rPr>
          <w:spacing w:val="-2"/>
          <w:sz w:val="28"/>
          <w:szCs w:val="28"/>
        </w:rPr>
        <w:tab/>
        <w:t>- организация работы по снижению количества людей, погибших на водных объектах.</w:t>
      </w:r>
    </w:p>
    <w:p w:rsidR="00242C6D" w:rsidRDefault="00035EF3">
      <w:pPr>
        <w:pStyle w:val="1"/>
        <w:ind w:left="840"/>
      </w:pPr>
      <w:r>
        <w:rPr>
          <w:b w:val="0"/>
          <w:sz w:val="28"/>
          <w:szCs w:val="28"/>
        </w:rPr>
        <w:lastRenderedPageBreak/>
        <w:t>Цели, задачи, индикаторы оценки</w:t>
      </w:r>
      <w:r>
        <w:rPr>
          <w:b w:val="0"/>
          <w:sz w:val="28"/>
          <w:szCs w:val="28"/>
        </w:rPr>
        <w:t xml:space="preserve"> результатов программы и финансирование по мероприятиям</w:t>
      </w:r>
    </w:p>
    <w:p w:rsidR="00242C6D" w:rsidRDefault="00035EF3">
      <w:pPr>
        <w:ind w:right="158"/>
        <w:jc w:val="center"/>
        <w:rPr>
          <w:sz w:val="20"/>
          <w:szCs w:val="20"/>
        </w:rPr>
      </w:pPr>
      <w:r>
        <w:t xml:space="preserve">    </w:t>
      </w:r>
    </w:p>
    <w:tbl>
      <w:tblPr>
        <w:tblW w:w="16031" w:type="dxa"/>
        <w:tblLayout w:type="fixed"/>
        <w:tblLook w:val="0000" w:firstRow="0" w:lastRow="0" w:firstColumn="0" w:lastColumn="0" w:noHBand="0" w:noVBand="0"/>
      </w:tblPr>
      <w:tblGrid>
        <w:gridCol w:w="828"/>
        <w:gridCol w:w="3257"/>
        <w:gridCol w:w="8"/>
        <w:gridCol w:w="1441"/>
        <w:gridCol w:w="1426"/>
        <w:gridCol w:w="2361"/>
        <w:gridCol w:w="851"/>
        <w:gridCol w:w="755"/>
        <w:gridCol w:w="11"/>
        <w:gridCol w:w="792"/>
        <w:gridCol w:w="890"/>
        <w:gridCol w:w="11"/>
        <w:gridCol w:w="1129"/>
        <w:gridCol w:w="77"/>
        <w:gridCol w:w="38"/>
        <w:gridCol w:w="1015"/>
        <w:gridCol w:w="80"/>
        <w:gridCol w:w="1061"/>
      </w:tblGrid>
      <w:tr w:rsidR="00242C6D">
        <w:trPr>
          <w:trHeight w:val="901"/>
        </w:trPr>
        <w:tc>
          <w:tcPr>
            <w:tcW w:w="4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42C6D" w:rsidRDefault="00242C6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42C6D" w:rsidRDefault="00242C6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42C6D" w:rsidRDefault="00242C6D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Финансирование с указанием </w:t>
            </w:r>
            <w:r>
              <w:rPr>
                <w:sz w:val="20"/>
                <w:szCs w:val="20"/>
              </w:rPr>
              <w:t>источника финансирования 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242C6D">
        <w:trPr>
          <w:trHeight w:val="928"/>
        </w:trPr>
        <w:tc>
          <w:tcPr>
            <w:tcW w:w="4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(базовый)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242C6D">
        <w:trPr>
          <w:trHeight w:val="479"/>
        </w:trPr>
        <w:tc>
          <w:tcPr>
            <w:tcW w:w="160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Цель: повышение защищенности населения, территорий и объектов инфраструктуры города Набережные Челны от чрезвычайных ситуаций природного и </w:t>
            </w:r>
            <w:r>
              <w:rPr>
                <w:spacing w:val="-2"/>
                <w:sz w:val="20"/>
                <w:szCs w:val="20"/>
              </w:rPr>
              <w:t>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      </w:r>
          </w:p>
        </w:tc>
      </w:tr>
      <w:tr w:rsidR="00242C6D">
        <w:trPr>
          <w:trHeight w:val="479"/>
        </w:trPr>
        <w:tc>
          <w:tcPr>
            <w:tcW w:w="6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Количество чрезвычайных ситуаций природного и техногенного характера с гибелью людей, </w:t>
            </w:r>
            <w:proofErr w:type="spellStart"/>
            <w:r>
              <w:rPr>
                <w:spacing w:val="-2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242C6D">
        <w:trPr>
          <w:trHeight w:val="245"/>
        </w:trPr>
        <w:tc>
          <w:tcPr>
            <w:tcW w:w="160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и осуществление мероприятий по гражданской обороне, защите населения и территорий городского округа от чрезвычайных ситуаций природного и техногенного характера</w:t>
            </w:r>
          </w:p>
        </w:tc>
      </w:tr>
      <w:tr w:rsidR="00242C6D">
        <w:trPr>
          <w:trHeight w:val="245"/>
        </w:trPr>
        <w:tc>
          <w:tcPr>
            <w:tcW w:w="126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бюджет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смотра-конкурса на лучшее </w:t>
            </w:r>
            <w:r>
              <w:rPr>
                <w:iCs/>
                <w:sz w:val="20"/>
                <w:szCs w:val="20"/>
              </w:rPr>
              <w:t>защитное сооружение гражданской обороны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 –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27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смотра-конкурса на лучшую </w:t>
            </w:r>
            <w:r>
              <w:rPr>
                <w:iCs/>
                <w:sz w:val="20"/>
                <w:szCs w:val="20"/>
              </w:rPr>
              <w:t>учебно-материальную базу по гражданской обороне и чрезвычайным ситуациям объектов экономики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июнь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участников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Разработка плана основных мероприятий города Набережные Челны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</w:t>
            </w:r>
            <w:r>
              <w:rPr>
                <w:sz w:val="20"/>
                <w:szCs w:val="20"/>
              </w:rPr>
              <w:t>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декабрь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разработанного документа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смотра-конкурса на лучший учебно-консультационный пункт по гражданской обороне, созданный при управляющих компаниях </w:t>
            </w:r>
            <w:r>
              <w:rPr>
                <w:iCs/>
                <w:sz w:val="20"/>
                <w:szCs w:val="20"/>
              </w:rPr>
              <w:t>города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сентябрь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 w:rsidR="00242C6D" w:rsidRDefault="00242C6D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организаций,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работ по повышению эксплуатационной надежности гидротехнический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238,80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238,80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238,80</w:t>
            </w:r>
          </w:p>
        </w:tc>
      </w:tr>
      <w:tr w:rsidR="00242C6D">
        <w:trPr>
          <w:trHeight w:val="115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контроля оснащенности образовательных </w:t>
            </w:r>
            <w:r>
              <w:rPr>
                <w:iCs/>
                <w:sz w:val="20"/>
                <w:szCs w:val="20"/>
              </w:rPr>
              <w:t>организаций</w:t>
            </w:r>
          </w:p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индивидуальными средствами защиты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14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ind w:right="-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контроля оснащенности дошкольных и</w:t>
            </w:r>
            <w:r>
              <w:rPr>
                <w:iCs/>
                <w:sz w:val="20"/>
                <w:szCs w:val="20"/>
              </w:rPr>
              <w:t xml:space="preserve"> общеобразовательных организаций индивидуальными средствами защиты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163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ind w:right="-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Подведение итогов выполнения задач в области гражданской </w:t>
            </w:r>
            <w:r>
              <w:rPr>
                <w:iCs/>
                <w:sz w:val="20"/>
                <w:szCs w:val="20"/>
              </w:rPr>
              <w:t>обороны и защиты населения и территорий от чрезвычайных ситуаций природного и техногенного характера за отчетный 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Сектор гражданской обороны и защиты </w:t>
            </w:r>
            <w:proofErr w:type="gramStart"/>
            <w:r>
              <w:rPr>
                <w:spacing w:val="-2"/>
                <w:sz w:val="20"/>
                <w:szCs w:val="20"/>
              </w:rPr>
              <w:t>населения  Исполнительного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комитета</w:t>
            </w:r>
          </w:p>
          <w:p w:rsidR="00242C6D" w:rsidRDefault="00242C6D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количество мероприятий, </w:t>
            </w:r>
            <w:proofErr w:type="spellStart"/>
            <w:r>
              <w:rPr>
                <w:iCs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10,0</w:t>
            </w:r>
          </w:p>
        </w:tc>
      </w:tr>
      <w:tr w:rsidR="00242C6D">
        <w:trPr>
          <w:trHeight w:val="171"/>
        </w:trPr>
        <w:tc>
          <w:tcPr>
            <w:tcW w:w="160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Задача: Организация работы по снижению количества людей, погибших на водных объектах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в образовательных организациях классных часов</w:t>
            </w:r>
          </w:p>
          <w:p w:rsidR="00242C6D" w:rsidRDefault="00035EF3">
            <w:pPr>
              <w:widowControl w:val="0"/>
              <w:ind w:right="-1"/>
            </w:pPr>
            <w:hyperlink r:id="rId5" w:tgtFrame="_blank">
              <w:r>
                <w:rPr>
                  <w:rStyle w:val="a7"/>
                  <w:iCs/>
                  <w:color w:val="000000"/>
                  <w:sz w:val="20"/>
                  <w:szCs w:val="20"/>
                  <w:u w:val="none"/>
                </w:rPr>
                <w:t>«Безопасность на воде»</w:t>
              </w:r>
            </w:hyperlink>
          </w:p>
          <w:p w:rsidR="00242C6D" w:rsidRDefault="00242C6D">
            <w:pPr>
              <w:widowControl w:val="0"/>
              <w:ind w:right="-1"/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охваченных детей,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68160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68170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68180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68190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плана мероприятий по предупреждению и ликвидации чрезвычайных ситуаций в период </w:t>
            </w:r>
            <w:r>
              <w:rPr>
                <w:sz w:val="20"/>
                <w:szCs w:val="20"/>
              </w:rPr>
              <w:lastRenderedPageBreak/>
              <w:t>весеннего половодья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Сектор гражданской обороны и </w:t>
            </w:r>
            <w:r>
              <w:rPr>
                <w:sz w:val="20"/>
                <w:szCs w:val="20"/>
              </w:rPr>
              <w:lastRenderedPageBreak/>
              <w:t>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апрель</w:t>
            </w:r>
          </w:p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финансирование не </w:t>
            </w:r>
            <w:r>
              <w:rPr>
                <w:spacing w:val="-2"/>
                <w:sz w:val="20"/>
                <w:szCs w:val="20"/>
              </w:rPr>
              <w:t>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обучения</w:t>
            </w:r>
          </w:p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Создание, оснащение и организация работы</w:t>
            </w:r>
          </w:p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общественных </w:t>
            </w:r>
            <w:r>
              <w:rPr>
                <w:iCs/>
                <w:sz w:val="20"/>
                <w:szCs w:val="20"/>
              </w:rPr>
              <w:t>спасательных постов в организованных местах</w:t>
            </w:r>
          </w:p>
          <w:p w:rsidR="00242C6D" w:rsidRDefault="00035EF3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массового отдыха населения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Управление городского хозяйства и жизнеобеспечения населения </w:t>
            </w:r>
            <w:r>
              <w:rPr>
                <w:spacing w:val="-2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течении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года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Создание и содержание общественных</w:t>
            </w:r>
          </w:p>
          <w:p w:rsidR="00242C6D" w:rsidRDefault="00035EF3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спасательных постов, пляжей и оснащение необходим</w:t>
            </w:r>
            <w:r>
              <w:rPr>
                <w:iCs/>
                <w:sz w:val="20"/>
                <w:szCs w:val="20"/>
              </w:rPr>
              <w:t>ым оборудованием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2  790,50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2 790,50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2 790,50</w:t>
            </w:r>
          </w:p>
        </w:tc>
      </w:tr>
      <w:tr w:rsidR="00242C6D">
        <w:trPr>
          <w:trHeight w:val="245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numPr>
                <w:ilvl w:val="0"/>
                <w:numId w:val="2"/>
              </w:numPr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Организация проведения расширенного заседания с владельцами и арендаторами пляжей (водопользователями) и комиссией по чрезвычайным ситуациям и пожарной безопасности на тему: «О готовности мест </w:t>
            </w:r>
            <w:r>
              <w:rPr>
                <w:iCs/>
                <w:sz w:val="20"/>
                <w:szCs w:val="20"/>
              </w:rPr>
              <w:t>купания и массового отдыха населения в летний период»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гражданской обороны и защиты населения  Исполнительного комитета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май</w:t>
            </w:r>
          </w:p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035EF3">
            <w:pPr>
              <w:widowControl w:val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финансирование не требуется</w:t>
            </w:r>
          </w:p>
        </w:tc>
      </w:tr>
      <w:tr w:rsidR="00242C6D">
        <w:trPr>
          <w:trHeight w:val="47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C6D" w:rsidRDefault="00242C6D">
            <w:pPr>
              <w:widowControl w:val="0"/>
              <w:snapToGrid w:val="0"/>
              <w:ind w:right="-1"/>
              <w:jc w:val="center"/>
              <w:rPr>
                <w:iCs/>
                <w:spacing w:val="-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</w:pPr>
            <w:r>
              <w:rPr>
                <w:iCs/>
                <w:sz w:val="20"/>
                <w:szCs w:val="20"/>
              </w:rPr>
              <w:t xml:space="preserve"> 3 039,30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3 039,30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1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3 039,30</w:t>
            </w:r>
          </w:p>
        </w:tc>
      </w:tr>
    </w:tbl>
    <w:p w:rsidR="00242C6D" w:rsidRDefault="00242C6D">
      <w:pPr>
        <w:sectPr w:rsidR="00242C6D">
          <w:pgSz w:w="16838" w:h="11906" w:orient="landscape"/>
          <w:pgMar w:top="709" w:right="380" w:bottom="1134" w:left="760" w:header="0" w:footer="0" w:gutter="0"/>
          <w:cols w:space="720"/>
          <w:formProt w:val="0"/>
          <w:docGrid w:linePitch="381"/>
        </w:sectPr>
      </w:pPr>
    </w:p>
    <w:p w:rsidR="00242C6D" w:rsidRDefault="00035EF3">
      <w:pPr>
        <w:pStyle w:val="ConsPlusNormal"/>
        <w:widowControl/>
        <w:ind w:left="360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4. Индикаторы оценки эффективности реализации программы</w:t>
      </w:r>
    </w:p>
    <w:p w:rsidR="00242C6D" w:rsidRDefault="00242C6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42C6D" w:rsidRPr="00035EF3" w:rsidRDefault="00035EF3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промежуточных и конечных результатов реализации программы будут использованы следующие индикаторы оценки результативности:</w:t>
      </w:r>
    </w:p>
    <w:p w:rsidR="00242C6D" w:rsidRPr="00035EF3" w:rsidRDefault="00242C6D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090" w:type="dxa"/>
        <w:jc w:val="center"/>
        <w:tblLayout w:type="fixed"/>
        <w:tblLook w:val="0000" w:firstRow="0" w:lastRow="0" w:firstColumn="0" w:lastColumn="0" w:noHBand="0" w:noVBand="0"/>
      </w:tblPr>
      <w:tblGrid>
        <w:gridCol w:w="929"/>
        <w:gridCol w:w="2757"/>
        <w:gridCol w:w="2500"/>
        <w:gridCol w:w="2904"/>
      </w:tblGrid>
      <w:tr w:rsidR="00242C6D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158"/>
              <w:jc w:val="center"/>
            </w:pPr>
            <w:r>
              <w:t>№</w:t>
            </w:r>
          </w:p>
          <w:p w:rsidR="00242C6D" w:rsidRDefault="00035EF3">
            <w:pPr>
              <w:widowControl w:val="0"/>
              <w:ind w:right="158"/>
              <w:jc w:val="center"/>
            </w:pPr>
            <w:r>
              <w:t>п /п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66"/>
              <w:jc w:val="center"/>
            </w:pPr>
            <w:r>
              <w:t>Наименование индикатора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158"/>
              <w:jc w:val="center"/>
            </w:pPr>
            <w:r>
              <w:t>Расчет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158"/>
              <w:jc w:val="center"/>
            </w:pPr>
            <w:r>
              <w:t>Источник информации</w:t>
            </w:r>
          </w:p>
        </w:tc>
      </w:tr>
      <w:tr w:rsidR="00242C6D">
        <w:trPr>
          <w:trHeight w:val="486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158"/>
              <w:jc w:val="center"/>
            </w:pPr>
            <w:r>
              <w:t>1.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66"/>
            </w:pPr>
            <w:r>
              <w:t>Количество произошедших чрезвычайных ситуаций</w:t>
            </w:r>
          </w:p>
          <w:p w:rsidR="00242C6D" w:rsidRDefault="00035EF3">
            <w:pPr>
              <w:widowControl w:val="0"/>
              <w:ind w:right="-66"/>
            </w:pPr>
            <w:r>
              <w:t>на территории муниципального образования город Набережные Челны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-40"/>
              <w:jc w:val="center"/>
            </w:pPr>
            <w:r>
              <w:rPr>
                <w:lang w:val="en-US"/>
              </w:rPr>
              <w:t xml:space="preserve">N - </w:t>
            </w:r>
            <w:r>
              <w:t>количество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6D" w:rsidRDefault="00035EF3">
            <w:pPr>
              <w:widowControl w:val="0"/>
              <w:ind w:right="158"/>
              <w:jc w:val="center"/>
            </w:pPr>
            <w:r>
              <w:t>Единая дежурно-диспетчерская служба города Набережные Челны</w:t>
            </w:r>
          </w:p>
        </w:tc>
      </w:tr>
    </w:tbl>
    <w:p w:rsidR="00242C6D" w:rsidRDefault="00035EF3">
      <w:pPr>
        <w:pStyle w:val="ConsPlusNormal"/>
        <w:widowControl/>
        <w:spacing w:before="240" w:after="240"/>
        <w:ind w:left="357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5. Механизм и сроки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</w:p>
    <w:p w:rsidR="00242C6D" w:rsidRDefault="00035EF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программы включает финансовую и организационно - правовую базы для решения проблем, которые будут осуществляться в условиях дефицита городского бюджета, путем разработки мероприятий по реализации программы. Основным источником</w:t>
      </w:r>
      <w:r>
        <w:rPr>
          <w:rFonts w:ascii="Times New Roman" w:hAnsi="Times New Roman" w:cs="Times New Roman"/>
          <w:sz w:val="24"/>
          <w:szCs w:val="24"/>
        </w:rPr>
        <w:t xml:space="preserve"> финансирования мероприятий программы является муниципальный бюджет.</w:t>
      </w:r>
    </w:p>
    <w:p w:rsidR="00242C6D" w:rsidRDefault="00035EF3">
      <w:pPr>
        <w:pStyle w:val="ConsPlusNormal"/>
        <w:widowControl/>
        <w:spacing w:before="240" w:after="240"/>
        <w:ind w:left="35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6. Ресурсное обеспечение программы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</w:pPr>
      <w:r>
        <w:t>Ресурсное обеспечение программы составляют средства бюджета города в размере                    9 117,</w:t>
      </w:r>
      <w:proofErr w:type="gramStart"/>
      <w:r>
        <w:t>90</w:t>
      </w:r>
      <w:r>
        <w:t xml:space="preserve">  тыс.</w:t>
      </w:r>
      <w:proofErr w:type="gramEnd"/>
      <w:r>
        <w:t xml:space="preserve"> </w:t>
      </w:r>
      <w:proofErr w:type="spellStart"/>
      <w:r>
        <w:t>руб</w:t>
      </w:r>
      <w:proofErr w:type="spellEnd"/>
      <w:r>
        <w:t>, в том числе: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</w:pPr>
      <w:r>
        <w:t>2025 год – 3 039,</w:t>
      </w:r>
      <w:r>
        <w:t>30 тыс. руб.;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</w:pPr>
      <w:r>
        <w:t>2026 год – 3 039,30 тыс. руб.;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</w:pPr>
      <w:r>
        <w:t>2027 год – 3 039,30 тыс. руб.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</w:pPr>
      <w:r>
        <w:t>При сокращении или увеличении ассигнований на реализацию программы исполнитель программы вносит предложения по корректировке перечня мероприятий.</w:t>
      </w:r>
    </w:p>
    <w:p w:rsidR="00242C6D" w:rsidRDefault="00035EF3">
      <w:pPr>
        <w:tabs>
          <w:tab w:val="left" w:pos="567"/>
          <w:tab w:val="left" w:pos="4253"/>
        </w:tabs>
        <w:ind w:firstLine="567"/>
        <w:jc w:val="both"/>
        <w:rPr>
          <w:sz w:val="28"/>
          <w:szCs w:val="28"/>
        </w:rPr>
      </w:pPr>
      <w:r>
        <w:t xml:space="preserve">Объемы финансирования программы </w:t>
      </w:r>
      <w:r>
        <w:t>носят прогнозный характер и подлежат уточнению в установленном порядке.</w:t>
      </w:r>
    </w:p>
    <w:p w:rsidR="00242C6D" w:rsidRDefault="00035EF3">
      <w:pPr>
        <w:pStyle w:val="ConsPlusNormal"/>
        <w:widowControl/>
        <w:spacing w:before="240" w:after="240"/>
        <w:ind w:left="357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Глава 7. Система организации контроля за исполнением программы</w:t>
      </w:r>
    </w:p>
    <w:p w:rsidR="00242C6D" w:rsidRDefault="00035EF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осуществляется сектором гражданской обороны и защиты населения Исполнительного к</w:t>
      </w:r>
      <w:r>
        <w:rPr>
          <w:rFonts w:ascii="Times New Roman" w:hAnsi="Times New Roman" w:cs="Times New Roman"/>
          <w:sz w:val="24"/>
          <w:szCs w:val="24"/>
        </w:rPr>
        <w:t>омитета, который несет ответственность за ее реализацию, достижение конечного результата и эффективное использование финансовых средств, выделяемых на выполнение программы.</w:t>
      </w:r>
    </w:p>
    <w:p w:rsidR="00242C6D" w:rsidRDefault="00035EF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Ежегодный доклад сектором гражданской обороны и защиты населения Исполнительного ко</w:t>
      </w:r>
      <w:r>
        <w:rPr>
          <w:rFonts w:ascii="Times New Roman" w:hAnsi="Times New Roman" w:cs="Times New Roman"/>
          <w:sz w:val="24"/>
          <w:szCs w:val="24"/>
        </w:rPr>
        <w:t xml:space="preserve">митета об исполнении программы с оценкой достижения плановых показателей, динамики финансирования и выполнения за весь период реализации программы и по планируемым мероприятиям на очередной финансовый год направляется Руководителю Исполнительного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>до 1 февраля года, следующего за отчетным.</w:t>
      </w:r>
    </w:p>
    <w:p w:rsidR="00242C6D" w:rsidRDefault="00035EF3">
      <w:pPr>
        <w:pStyle w:val="ConsPlusNormal"/>
        <w:widowControl/>
        <w:ind w:firstLine="6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гражданской обороны и защиты населения Исполнительного комитета ежегодно уточняет целевые показатели и затраты по программным мероприятиям, механизм реализации программы, состав исполнителей с учетом выделя</w:t>
      </w:r>
      <w:r>
        <w:rPr>
          <w:rFonts w:ascii="Times New Roman" w:hAnsi="Times New Roman" w:cs="Times New Roman"/>
          <w:sz w:val="24"/>
          <w:szCs w:val="24"/>
        </w:rPr>
        <w:t xml:space="preserve">емых на ее реализацию финансовых средств, в последний год действия программы при необходимости вносит предложения (с обоснованиями) о продлении срока ее реализации. </w:t>
      </w:r>
    </w:p>
    <w:p w:rsidR="00242C6D" w:rsidRDefault="00242C6D">
      <w:pPr>
        <w:pStyle w:val="ConsPlusNormal"/>
        <w:widowControl/>
        <w:ind w:firstLine="600"/>
        <w:jc w:val="both"/>
        <w:outlineLvl w:val="1"/>
      </w:pPr>
    </w:p>
    <w:p w:rsidR="00242C6D" w:rsidRDefault="00242C6D">
      <w:pPr>
        <w:pStyle w:val="ConsPlusNormal"/>
        <w:widowControl/>
        <w:ind w:firstLine="600"/>
        <w:jc w:val="both"/>
        <w:outlineLvl w:val="1"/>
      </w:pPr>
    </w:p>
    <w:p w:rsidR="00242C6D" w:rsidRDefault="00242C6D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42C6D" w:rsidRDefault="00035EF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Аппарата,</w:t>
      </w:r>
    </w:p>
    <w:p w:rsidR="00242C6D" w:rsidRDefault="00035EF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делопроизводством</w:t>
      </w:r>
    </w:p>
    <w:p w:rsidR="00242C6D" w:rsidRDefault="00035EF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242C6D">
      <w:pgSz w:w="11906" w:h="16838"/>
      <w:pgMar w:top="567" w:right="849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4041"/>
    <w:multiLevelType w:val="multilevel"/>
    <w:tmpl w:val="9864B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E1A9B"/>
    <w:multiLevelType w:val="multilevel"/>
    <w:tmpl w:val="E402BD5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E54002"/>
    <w:multiLevelType w:val="multilevel"/>
    <w:tmpl w:val="902C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6D"/>
    <w:rsid w:val="00035EF3"/>
    <w:rsid w:val="002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BA18E-D98A-44BA-99EF-56B4D70A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6z0">
    <w:name w:val="WW8Num16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39z0">
    <w:name w:val="WW8Num39z0"/>
    <w:qFormat/>
  </w:style>
  <w:style w:type="character" w:customStyle="1" w:styleId="WW8NumSt30z0">
    <w:name w:val="WW8NumSt30z0"/>
    <w:qFormat/>
    <w:rPr>
      <w:rFonts w:ascii="Times New Roman" w:hAnsi="Times New Roman" w:cs="Times New Roman"/>
    </w:rPr>
  </w:style>
  <w:style w:type="character" w:customStyle="1" w:styleId="WW8NumSt31z0">
    <w:name w:val="WW8NumSt31z0"/>
    <w:qFormat/>
    <w:rPr>
      <w:rFonts w:ascii="Times New Roman" w:hAnsi="Times New Roman" w:cs="Times New Roman"/>
    </w:rPr>
  </w:style>
  <w:style w:type="character" w:customStyle="1" w:styleId="WW8NumSt32z0">
    <w:name w:val="WW8NumSt32z0"/>
    <w:qFormat/>
    <w:rPr>
      <w:rFonts w:ascii="Times New Roman" w:hAnsi="Times New Roman" w:cs="Times New Roman"/>
    </w:rPr>
  </w:style>
  <w:style w:type="character" w:customStyle="1" w:styleId="WW8NumSt40z0">
    <w:name w:val="WW8NumSt40z0"/>
    <w:qFormat/>
    <w:rPr>
      <w:rFonts w:ascii="Times New Roman" w:hAnsi="Times New Roman" w:cs="Times New Roman"/>
    </w:rPr>
  </w:style>
  <w:style w:type="character" w:customStyle="1" w:styleId="WW8NumSt41z0">
    <w:name w:val="WW8NumSt41z0"/>
    <w:qFormat/>
    <w:rPr>
      <w:rFonts w:ascii="Times New Roman" w:hAnsi="Times New Roman" w:cs="Times New Roman"/>
    </w:rPr>
  </w:style>
  <w:style w:type="character" w:customStyle="1" w:styleId="WW8NumSt42z0">
    <w:name w:val="WW8NumSt42z0"/>
    <w:qFormat/>
    <w:rPr>
      <w:rFonts w:ascii="Times New Roman" w:hAnsi="Times New Roman" w:cs="Times New Roman"/>
    </w:rPr>
  </w:style>
  <w:style w:type="character" w:customStyle="1" w:styleId="WW8NumSt43z0">
    <w:name w:val="WW8NumSt43z0"/>
    <w:qFormat/>
    <w:rPr>
      <w:rFonts w:ascii="Times New Roman" w:hAnsi="Times New Roman" w:cs="Times New Roman"/>
    </w:rPr>
  </w:style>
  <w:style w:type="character" w:customStyle="1" w:styleId="WW8NumSt44z0">
    <w:name w:val="WW8NumSt44z0"/>
    <w:qFormat/>
    <w:rPr>
      <w:rFonts w:ascii="Times New Roman" w:hAnsi="Times New Roman" w:cs="Times New Roman"/>
    </w:rPr>
  </w:style>
  <w:style w:type="character" w:customStyle="1" w:styleId="WW8NumSt45z0">
    <w:name w:val="WW8NumSt45z0"/>
    <w:qFormat/>
    <w:rPr>
      <w:rFonts w:ascii="Times New Roman" w:hAnsi="Times New Roman" w:cs="Times New Roman"/>
    </w:rPr>
  </w:style>
  <w:style w:type="character" w:styleId="a3">
    <w:name w:val="page number"/>
    <w:basedOn w:val="a0"/>
  </w:style>
  <w:style w:type="character" w:customStyle="1" w:styleId="2pt">
    <w:name w:val="Основной текст + Интервал 2 pt"/>
    <w:qFormat/>
    <w:rPr>
      <w:rFonts w:ascii="Sylfaen" w:hAnsi="Sylfaen" w:cs="Sylfaen"/>
      <w:spacing w:val="50"/>
      <w:sz w:val="25"/>
      <w:szCs w:val="25"/>
    </w:rPr>
  </w:style>
  <w:style w:type="character" w:customStyle="1" w:styleId="2">
    <w:name w:val="Основной текст (2)_"/>
    <w:qFormat/>
    <w:rPr>
      <w:sz w:val="22"/>
      <w:szCs w:val="22"/>
      <w:shd w:val="clear" w:color="auto" w:fill="FFFFFF"/>
    </w:rPr>
  </w:style>
  <w:style w:type="character" w:customStyle="1" w:styleId="20pt">
    <w:name w:val="Основной текст (2) + Интервал 0 pt"/>
    <w:qFormat/>
    <w:rPr>
      <w:spacing w:val="10"/>
      <w:sz w:val="21"/>
      <w:szCs w:val="21"/>
      <w:shd w:val="clear" w:color="auto" w:fill="FFFFFF"/>
    </w:rPr>
  </w:style>
  <w:style w:type="character" w:customStyle="1" w:styleId="Verdana">
    <w:name w:val="Основной текст + Verdana"/>
    <w:qFormat/>
    <w:rPr>
      <w:rFonts w:ascii="Verdana" w:hAnsi="Verdana" w:cs="Verdana"/>
      <w:b/>
      <w:sz w:val="13"/>
      <w:u w:val="none"/>
    </w:rPr>
  </w:style>
  <w:style w:type="character" w:customStyle="1" w:styleId="5">
    <w:name w:val="Основной текст (5)_"/>
    <w:qFormat/>
    <w:rPr>
      <w:rFonts w:ascii="Calibri" w:hAnsi="Calibri" w:cs="Calibri"/>
      <w:sz w:val="27"/>
      <w:szCs w:val="27"/>
      <w:shd w:val="clear" w:color="auto" w:fill="FFFFFF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10"/>
      <w:w w:val="100"/>
      <w:position w:val="0"/>
      <w:sz w:val="26"/>
      <w:u w:val="none"/>
      <w:vertAlign w:val="baseline"/>
      <w:lang w:val="ru-RU"/>
    </w:rPr>
  </w:style>
  <w:style w:type="character" w:customStyle="1" w:styleId="Exact">
    <w:name w:val="Основной текст Exact"/>
    <w:qFormat/>
    <w:rPr>
      <w:rFonts w:ascii="Times New Roman" w:hAnsi="Times New Roman" w:cs="Times New Roman"/>
      <w:u w:val="none"/>
    </w:rPr>
  </w:style>
  <w:style w:type="character" w:customStyle="1" w:styleId="a4">
    <w:name w:val="Основной текст + Курсив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character" w:customStyle="1" w:styleId="20">
    <w:name w:val="Заголовок №2 + Полужирный"/>
    <w:qFormat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vertAlign w:val="baseline"/>
      <w:lang w:val="ru-RU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Основной текст_"/>
    <w:qFormat/>
    <w:rPr>
      <w:spacing w:val="10"/>
      <w:sz w:val="26"/>
      <w:szCs w:val="26"/>
      <w:shd w:val="clear" w:color="auto" w:fill="FFFFFF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qFormat/>
    <w:rPr>
      <w:rFonts w:ascii="Times New Roman" w:hAnsi="Times New Roman" w:cs="Times New Roman"/>
      <w:sz w:val="16"/>
      <w:szCs w:val="16"/>
    </w:rPr>
  </w:style>
  <w:style w:type="character" w:customStyle="1" w:styleId="FontStyle84">
    <w:name w:val="Font Style84"/>
    <w:qFormat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85">
    <w:name w:val="Font Style85"/>
    <w:qFormat/>
    <w:rPr>
      <w:rFonts w:ascii="Times New Roman" w:hAnsi="Times New Roman" w:cs="Times New Roman"/>
      <w:b/>
      <w:bCs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Normal (Web)"/>
    <w:basedOn w:val="a"/>
    <w:qFormat/>
    <w:pPr>
      <w:spacing w:before="280" w:after="119"/>
    </w:p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3">
    <w:name w:val="Body Text Indent 3"/>
    <w:basedOn w:val="a"/>
    <w:qFormat/>
    <w:pPr>
      <w:spacing w:after="120"/>
      <w:ind w:left="283"/>
    </w:pPr>
    <w:rPr>
      <w:color w:val="000000"/>
      <w:sz w:val="16"/>
      <w:szCs w:val="16"/>
    </w:rPr>
  </w:style>
  <w:style w:type="paragraph" w:styleId="af1">
    <w:name w:val="No Spacing"/>
    <w:qFormat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qFormat/>
    <w:pPr>
      <w:ind w:left="708"/>
    </w:p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before="60" w:after="420" w:line="240" w:lineRule="atLeast"/>
      <w:jc w:val="center"/>
    </w:pPr>
    <w:rPr>
      <w:sz w:val="22"/>
      <w:szCs w:val="22"/>
    </w:rPr>
  </w:style>
  <w:style w:type="paragraph" w:customStyle="1" w:styleId="50">
    <w:name w:val="Основной текст (5)"/>
    <w:basedOn w:val="a"/>
    <w:qFormat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 w:cs="Calibri"/>
      <w:sz w:val="27"/>
      <w:szCs w:val="27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Основной текст12"/>
    <w:basedOn w:val="a"/>
    <w:qFormat/>
    <w:pPr>
      <w:shd w:val="clear" w:color="auto" w:fill="FFFFFF"/>
      <w:spacing w:before="360" w:after="900" w:line="240" w:lineRule="atLeast"/>
      <w:ind w:left="23" w:right="40" w:firstLine="697"/>
      <w:jc w:val="both"/>
    </w:pPr>
    <w:rPr>
      <w:spacing w:val="10"/>
      <w:sz w:val="26"/>
      <w:szCs w:val="26"/>
    </w:rPr>
  </w:style>
  <w:style w:type="paragraph" w:customStyle="1" w:styleId="Style6">
    <w:name w:val="Style6"/>
    <w:basedOn w:val="a"/>
    <w:qFormat/>
    <w:pPr>
      <w:widowControl w:val="0"/>
      <w:spacing w:line="274" w:lineRule="exact"/>
      <w:ind w:firstLine="418"/>
      <w:jc w:val="both"/>
    </w:pPr>
  </w:style>
  <w:style w:type="paragraph" w:customStyle="1" w:styleId="30">
    <w:name w:val="Знак Знак3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1">
    <w:name w:val="Знак Знак1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9">
    <w:name w:val="Style9"/>
    <w:basedOn w:val="a"/>
    <w:qFormat/>
    <w:pPr>
      <w:widowControl w:val="0"/>
      <w:spacing w:line="216" w:lineRule="exact"/>
      <w:jc w:val="both"/>
    </w:pPr>
  </w:style>
  <w:style w:type="paragraph" w:customStyle="1" w:styleId="Style22">
    <w:name w:val="Style22"/>
    <w:basedOn w:val="a"/>
    <w:qFormat/>
    <w:pPr>
      <w:widowControl w:val="0"/>
      <w:spacing w:line="218" w:lineRule="exact"/>
      <w:ind w:firstLine="461"/>
      <w:jc w:val="both"/>
    </w:pPr>
  </w:style>
  <w:style w:type="paragraph" w:customStyle="1" w:styleId="22">
    <w:name w:val="Знак Знак2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formattexttopleveltext">
    <w:name w:val="formattext topleveltext"/>
    <w:basedOn w:val="a"/>
    <w:qFormat/>
    <w:pPr>
      <w:spacing w:before="280" w:after="280"/>
    </w:pPr>
  </w:style>
  <w:style w:type="paragraph" w:customStyle="1" w:styleId="Style8">
    <w:name w:val="Style8"/>
    <w:basedOn w:val="a"/>
    <w:qFormat/>
    <w:pPr>
      <w:widowControl w:val="0"/>
      <w:spacing w:line="310" w:lineRule="exact"/>
      <w:jc w:val="both"/>
    </w:pPr>
  </w:style>
  <w:style w:type="paragraph" w:customStyle="1" w:styleId="Style2">
    <w:name w:val="Style2"/>
    <w:basedOn w:val="a"/>
    <w:qFormat/>
    <w:pPr>
      <w:widowControl w:val="0"/>
      <w:spacing w:line="307" w:lineRule="exact"/>
      <w:jc w:val="both"/>
    </w:pPr>
  </w:style>
  <w:style w:type="paragraph" w:customStyle="1" w:styleId="Style3">
    <w:name w:val="Style3"/>
    <w:basedOn w:val="a"/>
    <w:qFormat/>
    <w:pPr>
      <w:widowControl w:val="0"/>
      <w:spacing w:line="305" w:lineRule="exact"/>
      <w:ind w:firstLine="485"/>
    </w:pPr>
  </w:style>
  <w:style w:type="paragraph" w:customStyle="1" w:styleId="af4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1">
    <w:name w:val="Style1"/>
    <w:basedOn w:val="a"/>
    <w:qFormat/>
    <w:pPr>
      <w:widowControl w:val="0"/>
      <w:spacing w:line="221" w:lineRule="exact"/>
      <w:ind w:firstLine="486"/>
      <w:jc w:val="both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7c4&amp;from=yandex.ru%3Bsearch%2F%3Bweb%3B%3B&amp;text=&amp;etext=1966.XW2yGej4dxMnP2pl1WD9exMz6Db1klPryXiDZZGzICT76EQPZY1MNbDaNoeE_LvRncl4rBqvdxNBDng-9siAWCe7ilimBoCTsIoCi1sPQbH5FUWoqppgDhIIc06n5kkCM1Pm7VS08fKIK4IXwa1fRasMILtVkHKYRNTLVUZ5CR3m7IIiRvSKp4IIIfJNYmcZ3jD8MsWjl56NUtpw87iAkZD-8j6iNB4AEnCi7d9Utsw.9e02c918942be1d74af5c6569597948886ab0688&amp;uuid=&amp;state=PEtFfuTeVD5kpHnK9lio9dFa2ePbDzX7sdpoY4CdtdgxLYsTNjk9xbHNmc71fHrFggt7zgnyQpHdbmLEZ2aQaqYBDVHYLUZvWI6VTOkVdNBbQAa4sl4sWg,,&amp;&amp;cst=AiuY0DBWFJ5fN_r-AEszk2T1VEyh9AjcpuRz5LbrvJYEGct7mYWAG2-xn8LDJKhEUVBU0e0AnFkjtT2M1JKCmFTck86O-2UByN0mj7abw4gs7ULj96Ga8HlszNYvftQqZb3jOKAxCyag31VV4l721MoIANQ0FEgMzipHo_3-Jwvv1sswCoTV8csAFed8xuv-Q79qHu7k8eSyc6oDggAr2kFjvxYQ7USzQg4W0dAhs7pA4vO6URJ4xQ6XTaC_HnBxCHporOwt4xom7Kav_ZyxRFeLofZEXXEVxOmGzziDYS9x05jZGFLB1-LHku0rlggv8F8-623rZ7FRktOTYVvKDklvjTEbip8uo0LI7Q5zfaiPXEj0Rvr5nC_v0I5t-cgQUAiEuTi8dNCY8lj9dihIdqPmihgH-NCjj24Kb8B6nIUjRrOqsiM0pzBsoCz-EH8Wur_zluRtfJiiB9liI_qsUTSy0v-9deqb49CmoqehxG7TmBK35UkAyJDcSt_To4dYJZNh3b92xNVl87cX40aD9IAAZD0Xg_0CA-MMSXO2Ix8ajuJA0A7YMiF6tIjtIy12mW9LlrfMg41WwQrkPqCR_0k-LQBNeLe97RUEqvg-frWZIa24TU6TVs3JBOaOCHsM2Wq-iTWRs9Bb_T_Oah6c7iA7vvDc8EAjeNLr65OB0nKKC2UCDsTKRXAhilWo_r6s_WG9BIFeURrvyAzRNB7gpOJffuq14FVmuT11X5cDwjfHmeEOd2832g,,&amp;data=UlNrNmk5WktYejY4cHFySjRXSWhXTHo5MjNXdHFqWGh2cHQzNl9BQ0tyS3RHNmg0Y3Z3anFhQWIxUDVqd1BEbDVDN1piX1pTY1hfekQ4NF9PQUJuMUdTOGh3UHZLaFpLejJjTUtwV1pTNngtSTNMY1dMU0NTRFAtbzlKUnlJVUhkYzIxcVp5U0EwVzZjZEhwaWY1ek01N3VqLV96bVFoRV9rYXNyVXVoNkswLA,,&amp;sign=f6e55d02fdc40750a11b554f904b1858&amp;keyno=0&amp;b64e=2&amp;ref=orjY4mGPRjk5boDnW0uvlrrd71vZw9kpxQJ4hz-2ALLp0zCS6eBUA6sqKHA38BWMuPtFdzxuCO5CkXSyEAVIXT9qnjz3aBNwczpBgoDv5WNGY2IjbcOh_ZJs4fZb1LqtEDiQIGaCZ0h382gG4IMU20sG1rjMq2g40VREcyybQjn5WrAA54arLxtbr3TjVWOFJV47O6qiYelnvEyTuZxdZAEPIruE8qCtqEB6MvSnm1V2Zam0ppv6BIpoNacrOpdO_0Hf7eAfzIJvUvfzcWjO4u24nj9HXQpzEWGEVAzU25vJjqzrjW-oSy4ySJ0ArEMnc9SapMXIvXKh6mYT9OECinIsyg7K2BMq2axQRFAhUnYhqUPiDdXKI_xSNfeuGVy5Qm1fTijmFF86py3Nw-M5iapArkbm4qNEMkOe6l9ugwu29XSf8bwnOlD8xxEXPAgszl7_koIomEoxU77dPRhu0ey_KdxRBMWj2lAnCfaNLFJqS8OlP1sVTfe8BDNiDTxM18OWHz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subject/>
  <dc:creator>1</dc:creator>
  <dc:description/>
  <cp:lastModifiedBy>Гостева Ольга Владиславовна</cp:lastModifiedBy>
  <cp:revision>2</cp:revision>
  <cp:lastPrinted>2021-10-19T08:31:00Z</cp:lastPrinted>
  <dcterms:created xsi:type="dcterms:W3CDTF">2024-08-26T06:27:00Z</dcterms:created>
  <dcterms:modified xsi:type="dcterms:W3CDTF">2024-08-26T06:27:00Z</dcterms:modified>
  <dc:language>ru-RU</dc:language>
</cp:coreProperties>
</file>