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30.10.2020 № 5733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Профилактика безнадзорности и правонарушений </w:t>
      </w:r>
    </w:p>
    <w:p>
      <w:pPr>
        <w:pStyle w:val="Normal"/>
        <w:spacing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среди несовершеннолетних в муниципальном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образовании город Набережные Челны на 2021-2025 годы</w:t>
      </w:r>
      <w:r>
        <w:rPr>
          <w:rFonts w:ascii="Times New Roman" w:hAnsi="Times New Roman"/>
          <w:sz w:val="26"/>
          <w:szCs w:val="26"/>
        </w:rPr>
        <w:t>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р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</w:r>
    </w:p>
    <w:p>
      <w:pPr>
        <w:pStyle w:val="ListParagraph"/>
        <w:widowControl w:val="false"/>
        <w:numPr>
          <w:ilvl w:val="0"/>
          <w:numId w:val="3"/>
        </w:numPr>
        <w:shd w:val="clear" w:color="auto" w:fill="FFFFFF"/>
        <w:spacing w:before="0" w:after="0"/>
        <w:ind w:left="0" w:right="-1" w:firstLine="709"/>
        <w:contextualSpacing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Внести в постановление Исполнительного комитета от 30.10.2020 № 5733 «Об утверждении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2021-2025 годы» (в редакции постановлени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й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 Исполнительного комитета от 24.09.2021 № 6260, от 01.04.2022 № 1775, от 17.04.2023 № 3053)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2021-2025 годы» за счет средств, предусмотренных в бюджете города Набережные Челны по разделу (подразделу) 0113 «Другие общегосударственные вопросы», 0707 «Молодежная политика и оздоровление детей» в размере: на 2021 год – 22 028,33 тысячи рублей, 2022 год – 1003,43 тысячи рублей, 2023 год – 13714,27 тысяч рублей, 2024 год – 32426,29 тысяч рублей, 2025 год – 50,0 тысяч рублей.»;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муниципальной программе 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: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cs="Calibri"/>
          <w:b/>
          <w:sz w:val="27"/>
          <w:szCs w:val="27"/>
          <w:lang w:eastAsia="ru-RU"/>
        </w:rPr>
      </w:pPr>
      <w:r>
        <w:rPr>
          <w:rFonts w:cs="Calibri"/>
          <w:b/>
          <w:sz w:val="27"/>
          <w:szCs w:val="27"/>
          <w:lang w:eastAsia="ru-RU"/>
        </w:rPr>
      </w:r>
    </w:p>
    <w:tbl>
      <w:tblPr>
        <w:tblW w:w="10491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126"/>
        <w:gridCol w:w="8364"/>
      </w:tblGrid>
      <w:tr>
        <w:trPr>
          <w:trHeight w:val="1407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" w:hAnsi="Times New Roman"/>
                <w:sz w:val="27"/>
                <w:szCs w:val="27"/>
                <w:lang w:eastAsia="en-US"/>
              </w:rPr>
              <w:t>«Объемы и источники финансирования программы с разбивкой по годам</w:t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" w:hAnsi="Times New Roman"/>
                <w:sz w:val="27"/>
                <w:szCs w:val="27"/>
                <w:lang w:eastAsia="en-US"/>
              </w:rPr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" w:hAnsi="Times New Roman"/>
                <w:sz w:val="27"/>
                <w:szCs w:val="27"/>
                <w:lang w:eastAsia="en-US"/>
              </w:rPr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" w:hAnsi="Times New Roman"/>
                <w:sz w:val="27"/>
                <w:szCs w:val="27"/>
                <w:lang w:eastAsia="en-US"/>
              </w:rPr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Общий объем финансирования программы за счет средств бюджета муниципального образования город Набережные Челны составляет 69222,32 тыс. руб.</w:t>
            </w:r>
          </w:p>
          <w:tbl>
            <w:tblPr>
              <w:tblW w:w="81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2014"/>
              <w:gridCol w:w="992"/>
              <w:gridCol w:w="849"/>
              <w:gridCol w:w="852"/>
              <w:gridCol w:w="709"/>
              <w:gridCol w:w="708"/>
              <w:gridCol w:w="1984"/>
            </w:tblGrid>
            <w:tr>
              <w:trPr/>
              <w:tc>
                <w:tcPr>
                  <w:tcW w:w="20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609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Годы реализации программы, тыс. руб.</w:t>
                  </w:r>
                </w:p>
              </w:tc>
            </w:tr>
            <w:tr>
              <w:trPr/>
              <w:tc>
                <w:tcPr>
                  <w:tcW w:w="201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2022(тыс. руб.)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-108" w:hang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-107" w:hang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 за период реализации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>
              <w:trPr/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22 028,33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1003,43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13714,27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32426,29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69222,32</w:t>
                  </w:r>
                </w:p>
              </w:tc>
            </w:tr>
            <w:tr>
              <w:trPr/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Республиканский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22 028,33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1003,43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13714,27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32426,29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69222.32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Объем финансирования программы на 2021-2025 годы составляет </w:t>
      </w:r>
      <w:r>
        <w:rPr>
          <w:rFonts w:ascii="Times New Roman" w:hAnsi="Times New Roman"/>
          <w:sz w:val="24"/>
          <w:szCs w:val="24"/>
        </w:rPr>
        <w:t xml:space="preserve">69222.32 </w:t>
      </w:r>
      <w:r>
        <w:rPr>
          <w:rFonts w:ascii="Times New Roman" w:hAnsi="Times New Roman"/>
          <w:sz w:val="26"/>
          <w:szCs w:val="26"/>
        </w:rPr>
        <w:t>тыс. руб.</w:t>
      </w:r>
      <w:r>
        <w:rPr>
          <w:rFonts w:ascii="Times New Roman" w:hAnsi="Times New Roman"/>
          <w:bCs/>
          <w:sz w:val="26"/>
          <w:szCs w:val="26"/>
        </w:rPr>
        <w:t xml:space="preserve">, в том числе по годам реализации программы: </w:t>
      </w:r>
      <w:r>
        <w:rPr>
          <w:rFonts w:ascii="Times New Roman" w:hAnsi="Times New Roman"/>
          <w:sz w:val="26"/>
          <w:szCs w:val="26"/>
        </w:rPr>
        <w:t>2021 год – 22 028,33 тысячи рублей, 2022 год – 1003,43 тысячи рублей, 2023 год – 13714,27 тысяч рублей, 2024 год – 32426,29 тысяч рублей, 2025 год – 50,0 тысяч рублей.»;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7 изложить в новой редакции согласно приложению.</w:t>
      </w:r>
    </w:p>
    <w:p>
      <w:pPr>
        <w:pStyle w:val="ListParagraph"/>
        <w:widowControl w:val="false"/>
        <w:numPr>
          <w:ilvl w:val="0"/>
          <w:numId w:val="3"/>
        </w:numPr>
        <w:shd w:val="clear" w:color="auto" w:fill="FFFFFF"/>
        <w:spacing w:before="0" w:after="0"/>
        <w:ind w:left="0" w:right="-1" w:firstLine="709"/>
        <w:contextualSpacing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Управлению делопроизводством Исполнительного комитета обеспечить опубликование настоящего постановления и размещение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его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на официальном портале правовой информации Республики Татарстан (pravo.tatarstan.ru), на официальном сайте гор ода Набережные Челны в сети Интернет.</w:t>
      </w:r>
    </w:p>
    <w:p>
      <w:pPr>
        <w:pStyle w:val="ListParagraph"/>
        <w:widowControl w:val="false"/>
        <w:numPr>
          <w:ilvl w:val="0"/>
          <w:numId w:val="3"/>
        </w:numPr>
        <w:shd w:val="clear" w:color="auto" w:fill="FFFFFF"/>
        <w:spacing w:before="0" w:after="0"/>
        <w:ind w:left="0" w:right="-1" w:firstLine="709"/>
        <w:contextualSpacing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Ф.Ш. Салахов</w:t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701" w:right="850" w:gutter="0" w:header="0" w:top="426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 № 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7. Программные мероприятия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</w:p>
    <w:p>
      <w:pPr>
        <w:pStyle w:val="Normal"/>
        <w:shd w:val="clear" w:color="auto" w:fill="FFFFFF"/>
        <w:spacing w:lineRule="auto" w:line="240" w:before="0" w:after="0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  <w:t xml:space="preserve"> </w:t>
      </w:r>
    </w:p>
    <w:tbl>
      <w:tblPr>
        <w:tblW w:w="15743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547"/>
        <w:gridCol w:w="2547"/>
        <w:gridCol w:w="1296"/>
        <w:gridCol w:w="1961"/>
        <w:gridCol w:w="608"/>
        <w:gridCol w:w="568"/>
        <w:gridCol w:w="567"/>
        <w:gridCol w:w="567"/>
        <w:gridCol w:w="566"/>
        <w:gridCol w:w="569"/>
        <w:gridCol w:w="691"/>
        <w:gridCol w:w="17"/>
        <w:gridCol w:w="627"/>
        <w:gridCol w:w="80"/>
        <w:gridCol w:w="68"/>
        <w:gridCol w:w="516"/>
        <w:gridCol w:w="266"/>
        <w:gridCol w:w="101"/>
        <w:gridCol w:w="609"/>
        <w:gridCol w:w="167"/>
        <w:gridCol w:w="787"/>
        <w:gridCol w:w="10"/>
        <w:gridCol w:w="8"/>
      </w:tblGrid>
      <w:tr>
        <w:trPr>
          <w:tblHeader w:val="true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3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индикаторов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1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>
            <w:pPr>
              <w:pStyle w:val="NoSpacing"/>
              <w:widowControl w:val="false"/>
              <w:jc w:val="center"/>
              <w:rPr>
                <w:b/>
                <w:lang w:eastAsia="ru-RU"/>
              </w:rPr>
            </w:pPr>
            <w:r>
              <w:rPr>
                <w:rFonts w:ascii="Times New Roman" w:hAnsi="Times New Roman"/>
              </w:rPr>
              <w:t>(базовый)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FontStyle21"/>
                <w:lang w:eastAsia="ru-RU"/>
              </w:rPr>
            </w:pPr>
            <w:r>
              <w:rPr>
                <w:rStyle w:val="FontStyle21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</w:rPr>
              <w:t>Повышение качества реализуемых мер по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 Распространение и внедрение опыта работы по  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семинаров, совещаний по вопросам профилактики</w:t>
            </w:r>
            <w:r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МО город Набережные Челны (по согласованию), управление образования Исполнительного комитета, управление по делам молодежи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конкурса на лучшее образовательное учреждение по профилактике</w:t>
            </w:r>
            <w:r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Летний период 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Количество образовательных организаций, участвующих в конкурсе, единиц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конкурса «Лучший общественный воспитатель несовершеннолетнего»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несовершеннолетних, состоящих в «группе риска» за которыми закреплены общественные воспитатели,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0,0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0,0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50,0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«Университета для родителей»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проведенных встреч,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собраний для родителей несовершеннолетних «группы риска», состоящих на профилактических учетах ПДН, СОП, ВШУ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Размещение в городских средствах массовой информации, группах сети Интернет материалов по профилактике правонарушений среди несовершеннолетних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информационной политики и по связям с общественностью Исполнительного комитета, администрации районов Исполнительного комитета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материалов, размещенных в городских средствах массовой информации, в группах сети Интернет по профилактике правонарушений среди несовершеннолетних,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Реализация комплекса мероприятий, направленных на формирование здорового образа жизни, профилактику правонарушений и преступлений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и проведение профильных смен для несовершеннолетних, состоящих на профилактических учетах ПДН, СОП, ВШУ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несовершеннолетних состоящих на профилактических учетах ПДН, СОП, ВШУ, охваченных профильными сменами,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конкурса среди образовательных организаций на лучший отряд профилактики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отрядов, участвующих в конкурсе на лучший отряд профилактики,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Проведение спортивных мероприятий для </w:t>
            </w:r>
            <w:r>
              <w:rPr>
                <w:rFonts w:ascii="Times New Roman" w:hAnsi="Times New Roman"/>
              </w:rPr>
              <w:t>несовершеннолетних, состоящих на профилактических учетах ПДН, СОП, ВШУ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образования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Доля несовершеннолетних, состоящих на профилактических учетах ПДН, СОП, ВШУ, охваченных спортивными мероприятиями</w:t>
            </w:r>
            <w:r>
              <w:rPr>
                <w:rFonts w:ascii="Times New Roman" w:hAnsi="Times New Roman"/>
                <w:lang w:eastAsia="ru-RU"/>
              </w:rPr>
              <w:t>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занятости несовершеннолетних, состоящих на профилактических учетах ПДН, СОП, ВШУ, в кружках, секциях, объединениях по интересам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несовершеннолетних, состоящих на профилактических учетах, занятых в кружках, секциях, объединениях по интересам,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несовершеннолетних, в государственное бюджетное учреждение «Центр временного содержания несовершеннолетних правонарушителей Министерства внутренних дел Республики Татарстан»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направленных в государственное бюджетное учреждение «Центр временного содержания несовершеннолетних правонарушителей Министерства внутренних дел Республики Татарстан»,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15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 Развитие и совершенствование системы раннего выявления несовершеннолетних и семей, находящихся в социально опасном положении, трудной жизненной ситуации и оказание им помощи</w:t>
            </w:r>
          </w:p>
        </w:tc>
      </w:tr>
      <w:tr>
        <w:trPr>
          <w:trHeight w:val="8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ежегодной межведомственной профилактической операции «Подросток»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МО город Набережные Челны (по согласованию), управление образования Исполнительного комитета, управление по делам молодежи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отдел опеки и попечительства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Летний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преступлений среди несовершеннолетних в каникулярное время, процент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работы с учащимися, состоящими на профилактических учетах ПДН, СОП, ВШУ в каникулярное время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преступлений среди несовершеннолетних, состоящих на профилактических учетах, совершенных в каникулярное время,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единой базы учета поступивших административных материалов на несовершеннолетних, их родителей и иных лиц в программе «Комиссия по делам несовершеннолетних 1.0» системы 1С: предприятие 8.0»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материалов, которые рассмотрены на заседаниях Комиссии по делам несовершеннолетних и защите их прав и внесены в программу, процент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ежегодной акции «Помоги собраться в школу»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Летний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семей, получивших помощь,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ежегодной операции «БЫТ»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обследованных семей с детьми - школьниками,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мониторинга результативности работы субъектов системы профилактики в информационной системе «Учет и мониторинг детей, находящихся в социально – опасном положении и их семей в Республике Татарстан»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МО город Набережные Челны (по согласованию), управление образования Исполнительного комитета, управление по делам молодежи Исполнительного комитета,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отдел опеки и попечительства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реализуемых индивидуальных программ реабилитации семей, находящихся в социально опасном положении, процент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работы муниципального бюджетного учреждения «Центр экстренной психологической помощи по телефону для детей и молодежи «Молодежный телефон доверия»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обращений в муниципальное бюджетное учреждение «Центр экстренной психологической помощи по телефону для детей и молодежи «Молодежный телефон доверия»,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занятости, досуга и трудоустройства детей, находящихся в социально опасном положении, в каникулярное время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МО город Набережные Челны (по согласованию), 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трудоустроенных несовершеннолетних (14-17 лет), находящихся в социально опасном положении,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трудоустройства несовершеннолетних граждан в возрасте от 14 до 18 лет в каникулярное и свободное от учебы время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3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22 028,33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1003,43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  <w:p>
            <w:pPr>
              <w:pStyle w:val="NoSpacing"/>
              <w:widowControl w:val="false"/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714,27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32 376,29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  <w:bookmarkStart w:id="0" w:name="_GoBack"/>
            <w:bookmarkEnd w:id="0"/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проекта «Школьная служба примирения»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Для образовательных организаций, охваченных проектом «Школьная служба примирения, процент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Аппарата,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делопроизводством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Исполнительного комитета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82" w:hanging="6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c0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1855d4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fd1233"/>
    <w:rPr>
      <w:rFonts w:ascii="Calibri" w:hAnsi="Calibri" w:eastAsia="Times New Roman" w:cs="Times New Roman"/>
    </w:rPr>
  </w:style>
  <w:style w:type="character" w:styleId="FontStyle21" w:customStyle="1">
    <w:name w:val="Font Style21"/>
    <w:qFormat/>
    <w:rsid w:val="00da38e3"/>
    <w:rPr>
      <w:rFonts w:ascii="Times New Roman" w:hAnsi="Times New Roman"/>
      <w:sz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c4c0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5c4c08"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rsid w:val="005c4c08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semiHidden/>
    <w:qFormat/>
    <w:rsid w:val="001855d4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qFormat/>
    <w:rsid w:val="00fd1233"/>
    <w:pPr>
      <w:spacing w:lineRule="auto" w:line="480" w:before="0" w:after="120"/>
    </w:pPr>
    <w:rPr>
      <w:rFonts w:eastAsia="Times New Roman"/>
    </w:rPr>
  </w:style>
  <w:style w:type="paragraph" w:styleId="ConsPlusNonformat" w:customStyle="1">
    <w:name w:val="ConsPlusNonformat"/>
    <w:qFormat/>
    <w:rsid w:val="00fd123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fd1233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LibreOffice/7.5.6.2$Linux_X86_64 LibreOffice_project/50$Build-2</Application>
  <AppVersion>15.0000</AppVersion>
  <Pages>11</Pages>
  <Words>1728</Words>
  <Characters>12108</Characters>
  <CharactersWithSpaces>13692</CharactersWithSpaces>
  <Paragraphs>360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2021-08-11T07:35:00Z</dcterms:created>
  <dc:creator>Ирина Вылегжанина Валентиновна</dc:creator>
  <dc:description/>
  <dc:language>ru-RU</dc:language>
  <cp:lastModifiedBy/>
  <cp:lastPrinted>2024-08-27T05:37:00Z</cp:lastPrinted>
  <dcterms:modified xsi:type="dcterms:W3CDTF">2024-09-02T10:23:53Z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