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_rels/document.xml.rels" ContentType="application/vnd.openxmlformats-package.relationships+xml"/>
  <Override PartName="/word/header2.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438" w:leader="none"/>
        </w:tabs>
        <w:ind w:right="5103" w:hanging="0"/>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      </w:t>
      </w:r>
    </w:p>
    <w:p>
      <w:pPr>
        <w:pStyle w:val="Normal"/>
        <w:ind w:right="5103" w:hanging="0"/>
        <w:rPr>
          <w:rFonts w:ascii="Times New Roman" w:hAnsi="Times New Roman" w:cs="Times New Roman"/>
          <w:sz w:val="28"/>
          <w:szCs w:val="28"/>
          <w:lang w:val="en-US"/>
        </w:rPr>
      </w:pPr>
      <w:r>
        <w:rPr>
          <w:rFonts w:cs="Times New Roman" w:ascii="Times New Roman" w:hAnsi="Times New Roman"/>
          <w:sz w:val="28"/>
          <w:szCs w:val="28"/>
          <w:lang w:val="en-US"/>
        </w:rPr>
      </w:r>
      <w:bookmarkStart w:id="0" w:name="_Hlk68079947"/>
      <w:bookmarkStart w:id="1" w:name="_Hlk68079947"/>
    </w:p>
    <w:p>
      <w:pPr>
        <w:pStyle w:val="Normal"/>
        <w:ind w:right="5103" w:hanging="0"/>
        <w:jc w:val="right"/>
        <w:rPr>
          <w:rFonts w:ascii="Times New Roman" w:hAnsi="Times New Roman" w:cs="Times New Roman"/>
          <w:sz w:val="28"/>
          <w:szCs w:val="28"/>
        </w:rPr>
      </w:pPr>
      <w:r>
        <w:rPr>
          <w:rFonts w:cs="Times New Roman" w:ascii="Times New Roman" w:hAnsi="Times New Roman"/>
          <w:sz w:val="28"/>
          <w:szCs w:val="28"/>
        </w:rPr>
      </w:r>
    </w:p>
    <w:p>
      <w:pPr>
        <w:pStyle w:val="Normal"/>
        <w:ind w:right="5103" w:hanging="0"/>
        <w:rPr>
          <w:rFonts w:ascii="Times New Roman" w:hAnsi="Times New Roman" w:cs="Times New Roman"/>
          <w:sz w:val="28"/>
          <w:szCs w:val="28"/>
        </w:rPr>
      </w:pPr>
      <w:r>
        <w:rPr>
          <w:rFonts w:cs="Times New Roman" w:ascii="Times New Roman" w:hAnsi="Times New Roman"/>
          <w:sz w:val="28"/>
          <w:szCs w:val="28"/>
        </w:rPr>
      </w:r>
    </w:p>
    <w:p>
      <w:pPr>
        <w:pStyle w:val="Normal"/>
        <w:ind w:right="5103" w:hanging="0"/>
        <w:rPr>
          <w:rFonts w:ascii="Times New Roman" w:hAnsi="Times New Roman" w:cs="Times New Roman"/>
          <w:sz w:val="28"/>
          <w:szCs w:val="28"/>
        </w:rPr>
      </w:pPr>
      <w:r>
        <w:rPr>
          <w:rFonts w:cs="Times New Roman" w:ascii="Times New Roman" w:hAnsi="Times New Roman"/>
          <w:sz w:val="28"/>
          <w:szCs w:val="28"/>
        </w:rPr>
      </w:r>
    </w:p>
    <w:p>
      <w:pPr>
        <w:pStyle w:val="Normal"/>
        <w:ind w:right="5103" w:hanging="0"/>
        <w:rPr>
          <w:rFonts w:ascii="Times New Roman" w:hAnsi="Times New Roman" w:cs="Times New Roman"/>
          <w:sz w:val="28"/>
          <w:szCs w:val="28"/>
        </w:rPr>
      </w:pPr>
      <w:r>
        <w:rPr>
          <w:rFonts w:cs="Times New Roman" w:ascii="Times New Roman" w:hAnsi="Times New Roman"/>
          <w:sz w:val="28"/>
          <w:szCs w:val="28"/>
        </w:rPr>
      </w:r>
    </w:p>
    <w:p>
      <w:pPr>
        <w:pStyle w:val="Normal"/>
        <w:ind w:right="5103" w:hanging="0"/>
        <w:rPr>
          <w:rFonts w:ascii="Times New Roman" w:hAnsi="Times New Roman" w:cs="Times New Roman"/>
          <w:sz w:val="28"/>
          <w:szCs w:val="28"/>
        </w:rPr>
      </w:pPr>
      <w:r>
        <w:rPr>
          <w:rFonts w:cs="Times New Roman" w:ascii="Times New Roman" w:hAnsi="Times New Roman"/>
          <w:sz w:val="28"/>
          <w:szCs w:val="28"/>
        </w:rPr>
      </w:r>
    </w:p>
    <w:p>
      <w:pPr>
        <w:pStyle w:val="Normal"/>
        <w:ind w:right="5103" w:hanging="0"/>
        <w:rPr>
          <w:rFonts w:ascii="Times New Roman" w:hAnsi="Times New Roman" w:cs="Times New Roman"/>
          <w:sz w:val="28"/>
          <w:szCs w:val="28"/>
        </w:rPr>
      </w:pPr>
      <w:r>
        <w:rPr>
          <w:rFonts w:cs="Times New Roman" w:ascii="Times New Roman" w:hAnsi="Times New Roman"/>
          <w:sz w:val="28"/>
          <w:szCs w:val="28"/>
        </w:rPr>
      </w:r>
    </w:p>
    <w:p>
      <w:pPr>
        <w:pStyle w:val="Normal"/>
        <w:ind w:right="5103" w:hanging="0"/>
        <w:rPr>
          <w:rFonts w:ascii="Times New Roman" w:hAnsi="Times New Roman" w:cs="Times New Roman"/>
          <w:sz w:val="28"/>
          <w:szCs w:val="28"/>
        </w:rPr>
      </w:pPr>
      <w:r>
        <w:rPr>
          <w:rFonts w:cs="Times New Roman" w:ascii="Times New Roman" w:hAnsi="Times New Roman"/>
          <w:sz w:val="28"/>
          <w:szCs w:val="28"/>
        </w:rPr>
      </w:r>
    </w:p>
    <w:p>
      <w:pPr>
        <w:pStyle w:val="Normal"/>
        <w:ind w:right="5103" w:hanging="0"/>
        <w:rPr>
          <w:rFonts w:ascii="Times New Roman" w:hAnsi="Times New Roman" w:cs="Times New Roman"/>
          <w:sz w:val="28"/>
          <w:szCs w:val="28"/>
        </w:rPr>
      </w:pPr>
      <w:r>
        <w:rPr>
          <w:rFonts w:cs="Times New Roman" w:ascii="Times New Roman" w:hAnsi="Times New Roman"/>
          <w:sz w:val="28"/>
          <w:szCs w:val="28"/>
        </w:rPr>
      </w:r>
    </w:p>
    <w:p>
      <w:pPr>
        <w:pStyle w:val="Normal"/>
        <w:ind w:right="5103" w:hanging="0"/>
        <w:rPr>
          <w:rFonts w:ascii="Times New Roman" w:hAnsi="Times New Roman" w:cs="Times New Roman"/>
          <w:sz w:val="28"/>
          <w:szCs w:val="28"/>
        </w:rPr>
      </w:pPr>
      <w:r>
        <w:rPr>
          <w:rFonts w:cs="Times New Roman" w:ascii="Times New Roman" w:hAnsi="Times New Roman"/>
          <w:sz w:val="28"/>
          <w:szCs w:val="28"/>
        </w:rPr>
      </w:r>
    </w:p>
    <w:p>
      <w:pPr>
        <w:pStyle w:val="Normal"/>
        <w:ind w:right="5103" w:hanging="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37"/>
        <w:ind w:right="5159" w:hanging="0"/>
        <w:rPr>
          <w:rFonts w:ascii="Times New Roman" w:hAnsi="Times New Roman" w:cs="Times New Roman"/>
          <w:sz w:val="28"/>
          <w:szCs w:val="28"/>
        </w:rPr>
      </w:pPr>
      <w:r>
        <w:rPr>
          <w:rFonts w:cs="Times New Roman" w:ascii="Times New Roman" w:hAnsi="Times New Roman"/>
          <w:sz w:val="28"/>
          <w:szCs w:val="28"/>
        </w:rPr>
        <w:t>О внесении изменен</w:t>
      </w:r>
      <w:r>
        <w:rPr>
          <w:rFonts w:cs="Times New Roman" w:ascii="Times New Roman" w:hAnsi="Times New Roman"/>
          <w:sz w:val="28"/>
          <w:szCs w:val="28"/>
          <w:highlight w:val="white"/>
        </w:rPr>
        <w:t xml:space="preserve">ия в </w:t>
      </w:r>
      <w:r>
        <w:rPr>
          <w:rFonts w:cs="Times New Roman" w:ascii="Times New Roman" w:hAnsi="Times New Roman"/>
          <w:sz w:val="28"/>
          <w:szCs w:val="28"/>
        </w:rPr>
        <w:t xml:space="preserve">Порядок предоставления субсидии из бюджета Республики Татарстан некоммерческим организациям на финансовое обеспечение (возмещение) затрат, связанных с оказанием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 утвержденный постановлением Кабинета Министров Республики Татарстан от 11.11.2023 № 1459 «Об утверждении Порядка предоставления субсидии из бюджета Республики Татарстан </w:t>
      </w:r>
      <w:bookmarkStart w:id="2" w:name="_Hlk139980873"/>
      <w:r>
        <w:rPr>
          <w:rFonts w:cs="Times New Roman" w:ascii="Times New Roman" w:hAnsi="Times New Roman"/>
          <w:sz w:val="28"/>
          <w:szCs w:val="28"/>
        </w:rPr>
        <w:t>некоммерческим организаци</w:t>
      </w:r>
      <w:bookmarkEnd w:id="2"/>
      <w:r>
        <w:rPr>
          <w:rFonts w:cs="Times New Roman" w:ascii="Times New Roman" w:hAnsi="Times New Roman"/>
          <w:sz w:val="28"/>
          <w:szCs w:val="28"/>
        </w:rPr>
        <w:t xml:space="preserve">ям на финансовое обеспечение (возмещение) затрат, связанных </w:t>
      </w:r>
      <w:bookmarkEnd w:id="1"/>
      <w:r>
        <w:rPr>
          <w:rFonts w:cs="Times New Roman" w:ascii="Times New Roman" w:hAnsi="Times New Roman"/>
          <w:sz w:val="28"/>
          <w:szCs w:val="28"/>
        </w:rPr>
        <w:t>с оказанием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p>
    <w:p>
      <w:pPr>
        <w:pStyle w:val="Normal"/>
        <w:spacing w:lineRule="auto" w:line="237"/>
        <w:ind w:firstLine="709"/>
        <w:rPr>
          <w:rFonts w:ascii="Times New Roman" w:hAnsi="Times New Roman" w:cs="Times New Roman"/>
          <w:szCs w:val="28"/>
        </w:rPr>
      </w:pPr>
      <w:r>
        <w:rPr>
          <w:rFonts w:cs="Times New Roman" w:ascii="Times New Roman" w:hAnsi="Times New Roman"/>
          <w:szCs w:val="28"/>
        </w:rPr>
      </w:r>
    </w:p>
    <w:p>
      <w:pPr>
        <w:pStyle w:val="Normal"/>
        <w:spacing w:lineRule="auto" w:line="237"/>
        <w:ind w:firstLine="709"/>
        <w:rPr>
          <w:rFonts w:ascii="Times New Roman" w:hAnsi="Times New Roman" w:cs="Times New Roman"/>
          <w:szCs w:val="28"/>
        </w:rPr>
      </w:pPr>
      <w:r>
        <w:rPr>
          <w:rFonts w:cs="Times New Roman" w:ascii="Times New Roman" w:hAnsi="Times New Roman"/>
          <w:szCs w:val="28"/>
        </w:rPr>
      </w:r>
    </w:p>
    <w:p>
      <w:pPr>
        <w:pStyle w:val="Normal"/>
        <w:spacing w:lineRule="auto" w:line="237"/>
        <w:ind w:firstLine="709"/>
        <w:rPr>
          <w:rFonts w:ascii="Times New Roman" w:hAnsi="Times New Roman" w:cs="Times New Roman"/>
          <w:sz w:val="28"/>
          <w:szCs w:val="28"/>
        </w:rPr>
      </w:pPr>
      <w:bookmarkStart w:id="3" w:name="sub_1"/>
      <w:r>
        <w:rPr>
          <w:rFonts w:cs="Times New Roman" w:ascii="Times New Roman" w:hAnsi="Times New Roman"/>
          <w:sz w:val="28"/>
          <w:szCs w:val="28"/>
        </w:rPr>
        <w:t xml:space="preserve">Кабинет Министров Республики Татарстан ПОСТАНОВЛЯЕТ: </w:t>
      </w:r>
    </w:p>
    <w:p>
      <w:pPr>
        <w:pStyle w:val="Normal"/>
        <w:spacing w:lineRule="auto" w:line="237"/>
        <w:ind w:firstLine="709"/>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37"/>
        <w:ind w:firstLine="709"/>
        <w:rPr>
          <w:rFonts w:ascii="Times New Roman" w:hAnsi="Times New Roman" w:cs="Times New Roman"/>
          <w:sz w:val="28"/>
          <w:szCs w:val="28"/>
        </w:rPr>
      </w:pPr>
      <w:r>
        <w:rPr>
          <w:rFonts w:cs="Times New Roman" w:ascii="Times New Roman" w:hAnsi="Times New Roman"/>
          <w:sz w:val="28"/>
          <w:szCs w:val="28"/>
        </w:rPr>
        <w:t xml:space="preserve">Внести в Порядок предоставления субсидии из бюджета Республики Татарстан некоммерческим организациям на финансовое обеспечение (возмещение) затрат, связанных с оказанием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 утвержденный постановлением Кабинета Министров Республики Татарстан от 11.11.2023 № 1459 «Об утверждении Порядка предоставления субсидии из бюджета Республики Татарстан некоммерческим организациям на финансовое обеспечение (возмещение) затрат, связанных с оказанием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 (с изменениями, внесенными постановлением Кабинета Министров Республики Татарстан от 13.03.2024 № 137), изменение, изложив пункт 16 в следующей редакции: </w:t>
      </w:r>
    </w:p>
    <w:p>
      <w:pPr>
        <w:pStyle w:val="Normal"/>
        <w:spacing w:lineRule="auto" w:line="237"/>
        <w:ind w:firstLine="709"/>
        <w:rPr>
          <w:rFonts w:ascii="Times New Roman" w:hAnsi="Times New Roman" w:cs="Times New Roman"/>
          <w:sz w:val="28"/>
          <w:szCs w:val="28"/>
        </w:rPr>
      </w:pPr>
      <w:bookmarkStart w:id="4" w:name="_Hlk173401042"/>
      <w:r>
        <w:rPr>
          <w:rFonts w:cs="Times New Roman" w:ascii="Times New Roman" w:hAnsi="Times New Roman"/>
          <w:sz w:val="28"/>
          <w:szCs w:val="28"/>
        </w:rPr>
        <w:t xml:space="preserve">«16. При необходимости Министерство и получатель субсидии заключают дополнительное соглашение к соглашению, в том числе дополнительное соглашение о расторжении соглашения, по типовой форме, утвержденной Министерством финансов Республики Татарстан. </w:t>
      </w:r>
    </w:p>
    <w:p>
      <w:pPr>
        <w:pStyle w:val="Normal"/>
        <w:spacing w:lineRule="auto" w:line="237"/>
        <w:ind w:firstLine="709"/>
        <w:rPr>
          <w:rFonts w:ascii="Times New Roman" w:hAnsi="Times New Roman" w:cs="Times New Roman"/>
          <w:sz w:val="28"/>
          <w:szCs w:val="28"/>
        </w:rPr>
      </w:pPr>
      <w:r>
        <w:rPr>
          <w:rFonts w:cs="Times New Roman" w:ascii="Times New Roman" w:hAnsi="Times New Roman"/>
          <w:sz w:val="28"/>
          <w:szCs w:val="28"/>
        </w:rPr>
        <w:t>Получатель субсидии вправе обратиться в Министерство для перераспределения сумм по направлениям расходов в пределах размера полученной субсидии с приложением документов, подтверждающих необходимость внесения изменений, в том числе смету расходов с приложением финансово-экономического обоснования.</w:t>
      </w:r>
    </w:p>
    <w:p>
      <w:pPr>
        <w:pStyle w:val="Normal"/>
        <w:spacing w:lineRule="auto" w:line="237"/>
        <w:ind w:firstLine="709"/>
        <w:rPr>
          <w:rFonts w:ascii="Times New Roman" w:hAnsi="Times New Roman" w:cs="Times New Roman"/>
          <w:sz w:val="28"/>
          <w:szCs w:val="28"/>
        </w:rPr>
      </w:pPr>
      <w:r>
        <w:rPr>
          <w:rFonts w:cs="Times New Roman" w:ascii="Times New Roman" w:hAnsi="Times New Roman"/>
          <w:sz w:val="28"/>
          <w:szCs w:val="28"/>
        </w:rPr>
        <w:t>Министерство в 20-дневный срок, исчисляемый в рабочих днях, со дня поступления обращения получателя субсидии рассматривает обращение получателя субсидии и принимает решение о перераспределении или об отказе в перераспределении сумм по направлениям расходов и в трехдневный срок, исчисляемый в рабочих днях, со дня принятия решения уведомляет получателя субсидии о принятом решении.</w:t>
      </w:r>
    </w:p>
    <w:p>
      <w:pPr>
        <w:pStyle w:val="Normal"/>
        <w:spacing w:lineRule="auto" w:line="237"/>
        <w:ind w:firstLine="709"/>
        <w:rPr>
          <w:rFonts w:ascii="Times New Roman" w:hAnsi="Times New Roman" w:cs="Times New Roman"/>
          <w:sz w:val="28"/>
          <w:szCs w:val="28"/>
        </w:rPr>
      </w:pPr>
      <w:bookmarkStart w:id="5" w:name="_Hlk173401042"/>
      <w:r>
        <w:rPr>
          <w:rFonts w:cs="Times New Roman" w:ascii="Times New Roman" w:hAnsi="Times New Roman"/>
          <w:sz w:val="28"/>
          <w:szCs w:val="28"/>
        </w:rPr>
        <w:t>В случае принятия решения о перераспределении сумм по направлениям расходов Министерство заключает с получателем субсидии дополнительное соглашение к соглашению в соответствии с типовой формой, утвержденной Министерством финансов Республики Татарстан.».</w:t>
      </w:r>
      <w:bookmarkEnd w:id="5"/>
    </w:p>
    <w:p>
      <w:pPr>
        <w:pStyle w:val="NormalWeb"/>
        <w:widowControl w:val="false"/>
        <w:spacing w:lineRule="auto" w:line="237" w:beforeAutospacing="0" w:before="0" w:afterAutospacing="0" w:after="0"/>
        <w:ind w:firstLine="709"/>
        <w:jc w:val="both"/>
        <w:rPr>
          <w:sz w:val="26"/>
          <w:szCs w:val="26"/>
        </w:rPr>
      </w:pPr>
      <w:r>
        <w:rPr>
          <w:sz w:val="26"/>
          <w:szCs w:val="26"/>
        </w:rPr>
      </w:r>
    </w:p>
    <w:p>
      <w:pPr>
        <w:pStyle w:val="NormalWeb"/>
        <w:widowControl w:val="false"/>
        <w:spacing w:lineRule="auto" w:line="237" w:beforeAutospacing="0" w:before="0" w:afterAutospacing="0" w:after="0"/>
        <w:ind w:firstLine="709"/>
        <w:jc w:val="both"/>
        <w:rPr>
          <w:sz w:val="26"/>
          <w:szCs w:val="26"/>
        </w:rPr>
      </w:pPr>
      <w:r>
        <w:rPr>
          <w:sz w:val="26"/>
          <w:szCs w:val="26"/>
        </w:rPr>
      </w:r>
    </w:p>
    <w:tbl>
      <w:tblPr>
        <w:tblStyle w:val="888"/>
        <w:tblW w:w="10314" w:type="dxa"/>
        <w:jc w:val="left"/>
        <w:tblInd w:w="0" w:type="dxa"/>
        <w:tblLayout w:type="fixed"/>
        <w:tblCellMar>
          <w:top w:w="0" w:type="dxa"/>
          <w:left w:w="108" w:type="dxa"/>
          <w:bottom w:w="0" w:type="dxa"/>
          <w:right w:w="108" w:type="dxa"/>
        </w:tblCellMar>
        <w:tblLook w:lastRow="0" w:firstRow="1" w:lastColumn="0" w:firstColumn="1" w:val="04a0" w:noHBand="0" w:noVBand="1"/>
      </w:tblPr>
      <w:tblGrid>
        <w:gridCol w:w="5098"/>
        <w:gridCol w:w="5215"/>
      </w:tblGrid>
      <w:tr>
        <w:trPr/>
        <w:tc>
          <w:tcPr>
            <w:tcW w:w="5098" w:type="dxa"/>
            <w:tcBorders>
              <w:top w:val="nil"/>
              <w:left w:val="nil"/>
              <w:bottom w:val="nil"/>
              <w:right w:val="nil"/>
            </w:tcBorders>
          </w:tcPr>
          <w:p>
            <w:pPr>
              <w:pStyle w:val="NormalWeb"/>
              <w:widowControl w:val="false"/>
              <w:spacing w:lineRule="auto" w:line="237" w:beforeAutospacing="0" w:before="0" w:afterAutospacing="0" w:after="0"/>
              <w:ind w:left="-113" w:right="0" w:hanging="0"/>
              <w:jc w:val="both"/>
              <w:rPr>
                <w:sz w:val="28"/>
                <w:szCs w:val="28"/>
              </w:rPr>
            </w:pPr>
            <w:r>
              <w:rPr>
                <w:kern w:val="0"/>
                <w:sz w:val="28"/>
                <w:szCs w:val="28"/>
                <w:lang w:val="ru-RU" w:eastAsia="ru-RU" w:bidi="ar-SA"/>
              </w:rPr>
              <w:t>Премьер-министр</w:t>
            </w:r>
          </w:p>
          <w:p>
            <w:pPr>
              <w:pStyle w:val="NormalWeb"/>
              <w:widowControl w:val="false"/>
              <w:spacing w:lineRule="auto" w:line="237" w:beforeAutospacing="0" w:before="0" w:afterAutospacing="0" w:after="0"/>
              <w:ind w:left="-113" w:right="0" w:hanging="0"/>
              <w:jc w:val="both"/>
              <w:rPr>
                <w:sz w:val="26"/>
                <w:szCs w:val="26"/>
              </w:rPr>
            </w:pPr>
            <w:r>
              <w:rPr>
                <w:kern w:val="0"/>
                <w:sz w:val="28"/>
                <w:szCs w:val="28"/>
                <w:lang w:val="ru-RU" w:eastAsia="ru-RU" w:bidi="ar-SA"/>
              </w:rPr>
              <w:t>Республики Татарстан</w:t>
            </w:r>
          </w:p>
        </w:tc>
        <w:tc>
          <w:tcPr>
            <w:tcW w:w="5215" w:type="dxa"/>
            <w:tcBorders>
              <w:top w:val="nil"/>
              <w:left w:val="nil"/>
              <w:bottom w:val="nil"/>
              <w:right w:val="nil"/>
            </w:tcBorders>
          </w:tcPr>
          <w:p>
            <w:pPr>
              <w:pStyle w:val="NormalWeb"/>
              <w:widowControl w:val="false"/>
              <w:spacing w:lineRule="auto" w:line="237" w:beforeAutospacing="0" w:before="0" w:afterAutospacing="0" w:after="0"/>
              <w:jc w:val="both"/>
              <w:rPr>
                <w:sz w:val="28"/>
                <w:szCs w:val="28"/>
              </w:rPr>
            </w:pPr>
            <w:r>
              <w:rPr>
                <w:kern w:val="0"/>
                <w:sz w:val="28"/>
                <w:szCs w:val="28"/>
                <w:lang w:val="ru-RU" w:eastAsia="ru-RU" w:bidi="ar-SA"/>
              </w:rPr>
            </w:r>
          </w:p>
          <w:p>
            <w:pPr>
              <w:pStyle w:val="NormalWeb"/>
              <w:widowControl w:val="false"/>
              <w:spacing w:lineRule="auto" w:line="237" w:beforeAutospacing="0" w:before="0" w:afterAutospacing="0" w:after="0"/>
              <w:jc w:val="right"/>
              <w:rPr>
                <w:sz w:val="26"/>
                <w:szCs w:val="26"/>
              </w:rPr>
            </w:pPr>
            <w:bookmarkStart w:id="6" w:name="sub_1"/>
            <w:r>
              <w:rPr>
                <w:kern w:val="0"/>
                <w:sz w:val="28"/>
                <w:szCs w:val="28"/>
                <w:lang w:val="ru-RU" w:eastAsia="ru-RU" w:bidi="ar-SA"/>
              </w:rPr>
              <w:t>А.В.Песошин</w:t>
            </w:r>
            <w:bookmarkEnd w:id="6"/>
          </w:p>
        </w:tc>
      </w:tr>
    </w:tbl>
    <w:p>
      <w:pPr>
        <w:pStyle w:val="Normal"/>
        <w:numPr>
          <w:ilvl w:val="0"/>
          <w:numId w:val="0"/>
        </w:numPr>
        <w:spacing w:lineRule="auto" w:line="228"/>
        <w:ind w:left="6237" w:hanging="0"/>
        <w:outlineLvl w:val="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tabs>
          <w:tab w:val="clear" w:pos="720"/>
          <w:tab w:val="left" w:pos="3998" w:leader="none"/>
        </w:tabs>
        <w:jc w:val="left"/>
        <w:rPr>
          <w:rFonts w:ascii="Times New Roman" w:hAnsi="Times New Roman" w:eastAsia="Calibri" w:cs="Times New Roman"/>
          <w:sz w:val="28"/>
          <w:szCs w:val="28"/>
          <w:highlight w:val="none"/>
        </w:rPr>
      </w:pPr>
      <w:r>
        <w:rPr>
          <w:rFonts w:eastAsia="Calibri" w:cs="Times New Roman" w:ascii="Times New Roman" w:hAnsi="Times New Roman"/>
          <w:sz w:val="28"/>
          <w:szCs w:val="28"/>
        </w:rPr>
        <w:tab/>
      </w:r>
    </w:p>
    <w:p>
      <w:pPr>
        <w:pStyle w:val="Normal"/>
        <w:tabs>
          <w:tab w:val="clear" w:pos="720"/>
          <w:tab w:val="left" w:pos="3998" w:leader="none"/>
        </w:tabs>
        <w:jc w:val="lef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b/>
          <w:sz w:val="28"/>
          <w:szCs w:val="28"/>
        </w:rPr>
      </w:pPr>
      <w:r>
        <w:rPr>
          <w:rFonts w:eastAsia="Calibri" w:cs="Times New Roman" w:ascii="Times New Roman" w:hAnsi="Times New Roman"/>
          <w:b/>
          <w:sz w:val="28"/>
          <w:szCs w:val="28"/>
        </w:rPr>
        <w:t>Пояснительная записка</w:t>
      </w:r>
    </w:p>
    <w:p>
      <w:pPr>
        <w:pStyle w:val="Normal"/>
        <w:spacing w:lineRule="auto" w:line="240" w:before="0" w:after="0"/>
        <w:jc w:val="center"/>
        <w:rPr>
          <w:rFonts w:ascii="Times New Roman" w:hAnsi="Times New Roman" w:eastAsia="Calibri" w:cs="Times New Roman"/>
          <w:b/>
          <w:sz w:val="28"/>
          <w:szCs w:val="28"/>
        </w:rPr>
      </w:pPr>
      <w:r>
        <w:rPr>
          <w:rFonts w:eastAsia="Calibri" w:cs="Times New Roman" w:ascii="Times New Roman" w:hAnsi="Times New Roman"/>
          <w:b/>
          <w:sz w:val="28"/>
          <w:szCs w:val="28"/>
        </w:rPr>
        <w:t>к проекту постановления Кабинета Министров Республики Татарстан</w:t>
      </w:r>
    </w:p>
    <w:p>
      <w:pPr>
        <w:pStyle w:val="Normal"/>
        <w:spacing w:lineRule="auto" w:line="240" w:before="0" w:after="0"/>
        <w:jc w:val="center"/>
        <w:rPr>
          <w:rFonts w:ascii="Times New Roman" w:hAnsi="Times New Roman" w:eastAsia="Calibri" w:cs="Times New Roman"/>
          <w:b/>
          <w:sz w:val="28"/>
          <w:szCs w:val="28"/>
        </w:rPr>
      </w:pPr>
      <w:r>
        <w:rPr>
          <w:rFonts w:eastAsia="Calibri" w:cs="Times New Roman" w:ascii="Times New Roman" w:hAnsi="Times New Roman"/>
          <w:b/>
          <w:sz w:val="28"/>
          <w:szCs w:val="28"/>
        </w:rPr>
        <w:t>«О внесении изменения в Порядок предоставления субсидии из бюджета Республики Татарстан некоммерческим организациям на финансовое  обеспечение (возмещение) затрат, связанных с оказанием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 утвержденный постановлением Кабинета Министров Республики Татарстан от 11.11.2023 № 1459 «Об утверждении Порядка предоставления субсидии из бюджета Республики Татарстан некоммерческим организациям на финансовое обеспечение (возмещение) затрат, связанных с оказанием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ind w:firstLine="709"/>
        <w:jc w:val="both"/>
        <w:outlineLvl w:val="0"/>
        <w:rPr>
          <w:rFonts w:ascii="Times New Roman" w:hAnsi="Times New Roman"/>
          <w:sz w:val="28"/>
          <w:szCs w:val="28"/>
        </w:rPr>
      </w:pPr>
      <w:r>
        <w:rPr>
          <w:rFonts w:ascii="Times New Roman" w:hAnsi="Times New Roman"/>
          <w:sz w:val="28"/>
          <w:szCs w:val="28"/>
        </w:rPr>
        <w:t xml:space="preserve">В пункте 16 постановления Кабинета Министров Республики Татарстан от 11.11.2023 № 1459 «Об утверждении Порядка предоставления субсидии из бюджета Республики Татарстан некоммерческим организациям на финансовое обеспечение (возмещение) затрат, связанных с оказанием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 (с изменениями, внесенными постановлением Кабинета Министров Республики Татарстан от 13.03.2024 № 137) предусмотрена возможность заключения при необходимости дополнительного соглашения между получателем субсидии и Министерством экономики Республики Татарстан. При этом для заключения дополнительного соглашения об изменении условий соглашения необходимо, чтобы это положение было установлено Правилами предоставления субсидии (п.4.2.1. Приказа Министерства финансов Республики Татарстан от 21 июня 2017 г. № 17-61 «Об утверждении Типовой формы соглашения (договора) о предоставлении из бюджета Республики Татарстан субсидии некоммерческим организациям, не являющимся государственными (муниципальными) учреждениями» (с изменениями, внесенными постановлением Кабинета Министров Республики Татарстан от 28.12.2021 № 17-138). </w:t>
      </w:r>
    </w:p>
    <w:p>
      <w:pPr>
        <w:pStyle w:val="Normal"/>
        <w:numPr>
          <w:ilvl w:val="0"/>
          <w:numId w:val="0"/>
        </w:numPr>
        <w:spacing w:lineRule="auto" w:line="240" w:before="0" w:after="0"/>
        <w:ind w:firstLine="709"/>
        <w:jc w:val="both"/>
        <w:outlineLvl w:val="0"/>
        <w:rPr>
          <w:rFonts w:ascii="Times New Roman" w:hAnsi="Times New Roman"/>
          <w:sz w:val="28"/>
          <w:szCs w:val="28"/>
        </w:rPr>
      </w:pPr>
      <w:r>
        <w:rPr>
          <w:rFonts w:ascii="Times New Roman" w:hAnsi="Times New Roman"/>
          <w:sz w:val="28"/>
          <w:szCs w:val="28"/>
        </w:rPr>
        <w:t>Настоящий Проект постановления Кабинета Министров Республики Татарстан разработан в целях заключения дополнительного соглашения в связи с изменением условий соглашения в части перераспределения средств субсидии между направлениями расходов на оказание комплексных услуг. Это обусловлено тем, что услуги субъектам малого и среднего предпринимательства оказываются на постоянной основе в течение года в заявительном порядке, а также тем, что подрядчики, оказывающие услуги субъектам малого и среднего предпринимательства, и конечная стоимость услуг определяются по итогам электронных торгов. При этом в течение года потребность в разного вида услугах изменяется и в этом случае остатки субсидии по отдельным направлениям могут быть оперативно перенаправлены на оказание услуг, в которых у субъектов малого и среднего бизнеса имеются текущие потребности.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ascii="Times New Roman" w:hAnsi="Times New Roman"/>
          <w:sz w:val="28"/>
          <w:szCs w:val="28"/>
        </w:rPr>
        <w:t>Принятие настоящего постановления Кабинета Министров Республики Татарстан не потребует выделения дополнительных финансовых средств из бюджета Республики</w:t>
      </w:r>
      <w:r>
        <w:rPr>
          <w:rFonts w:cs="Times New Roman" w:ascii="Times New Roman" w:hAnsi="Times New Roman"/>
          <w:sz w:val="28"/>
          <w:szCs w:val="28"/>
        </w:rPr>
        <w:t xml:space="preserve"> Татарстан.</w:t>
      </w:r>
      <w:bookmarkStart w:id="7" w:name="undefined"/>
      <w:bookmarkEnd w:id="7"/>
    </w:p>
    <w:p>
      <w:pPr>
        <w:pStyle w:val="Normal"/>
        <w:tabs>
          <w:tab w:val="clear" w:pos="720"/>
          <w:tab w:val="left" w:pos="3998" w:leader="none"/>
        </w:tabs>
        <w:jc w:val="left"/>
        <w:rPr>
          <w:rFonts w:ascii="Times New Roman" w:hAnsi="Times New Roman" w:eastAsia="Calibri" w:cs="Times New Roman"/>
          <w:sz w:val="28"/>
          <w:szCs w:val="28"/>
        </w:rPr>
      </w:pPr>
      <w:r>
        <w:rPr>
          <w:rFonts w:eastAsia="Calibri" w:cs="Times New Roman" w:ascii="Times New Roman" w:hAnsi="Times New Roman"/>
          <w:sz w:val="28"/>
          <w:szCs w:val="28"/>
        </w:rPr>
      </w:r>
    </w:p>
    <w:sectPr>
      <w:headerReference w:type="default" r:id="rId2"/>
      <w:headerReference w:type="first" r:id="rId3"/>
      <w:footerReference w:type="default" r:id="rId4"/>
      <w:type w:val="nextPage"/>
      <w:pgSz w:w="11906" w:h="16800"/>
      <w:pgMar w:left="1134"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CYR">
    <w:charset w:val="01"/>
    <w:family w:val="roman"/>
    <w:pitch w:val="default"/>
  </w:font>
  <w:font w:name="Arial">
    <w:charset w:val="01"/>
    <w:family w:val="roman"/>
    <w:pitch w:val="default"/>
  </w:font>
  <w:font w:name="Calibri Light">
    <w:charset w:val="01"/>
    <w:family w:val="roman"/>
    <w:pitch w:val="default"/>
  </w:font>
  <w:font w:name="Segoe UI">
    <w:charset w:val="01"/>
    <w:family w:val="roman"/>
    <w:pitch w:val="default"/>
  </w:font>
  <w:font w:name="PT Astra Serif">
    <w:charset w:val="01"/>
    <w:family w:val="roman"/>
    <w:pitch w:val="default"/>
  </w:font>
  <w:font w:name="Courier New">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9"/>
      <w:ind w:hanging="0"/>
      <w:jc w:val="center"/>
      <w:rPr/>
    </w:pPr>
    <w:r>
      <w:rPr>
        <w:sz w:val="28"/>
        <w:szCs w:val="28"/>
      </w:rPr>
      <w:fldChar w:fldCharType="begin"/>
    </w:r>
    <w:r>
      <w:rPr>
        <w:sz w:val="28"/>
        <w:szCs w:val="28"/>
      </w:rPr>
      <w:instrText xml:space="preserve"> PAGE </w:instrText>
    </w:r>
    <w:r>
      <w:rPr>
        <w:sz w:val="28"/>
        <w:szCs w:val="28"/>
      </w:rPr>
      <w:fldChar w:fldCharType="separate"/>
    </w:r>
    <w:r>
      <w:rPr>
        <w:sz w:val="28"/>
        <w:szCs w:val="28"/>
      </w:rPr>
      <w:t>4</w:t>
    </w:r>
    <w:r>
      <w:rPr>
        <w:sz w:val="28"/>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9"/>
      <w:jc w:val="right"/>
      <w:rPr/>
    </w:pPr>
    <w:r>
      <w:rPr>
        <w:rFonts w:cs="Times New Roman" w:ascii="Times New Roman" w:hAnsi="Times New Roman"/>
        <w:sz w:val="28"/>
        <w:szCs w:val="28"/>
      </w:rPr>
      <w:t xml:space="preserve">      </w:t>
    </w:r>
    <w:r>
      <w:rPr>
        <w:rFonts w:cs="Times New Roman" w:ascii="Times New Roman" w:hAnsi="Times New Roman"/>
        <w:sz w:val="28"/>
        <w:szCs w:val="28"/>
      </w:rPr>
      <w:t>Проект</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rial" w:cs="Times New Roman" w:asciiTheme="minorHAns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false"/>
      <w:bidi w:val="0"/>
      <w:spacing w:lineRule="auto" w:line="240" w:beforeAutospacing="0" w:before="0" w:afterAutospacing="0" w:after="0"/>
      <w:ind w:firstLine="720"/>
      <w:jc w:val="both"/>
    </w:pPr>
    <w:rPr>
      <w:rFonts w:ascii="Times New Roman CYR" w:hAnsi="Times New Roman CYR" w:cs="Times New Roman CYR" w:eastAsia="Arial" w:eastAsiaTheme="minorEastAsia"/>
      <w:color w:val="auto"/>
      <w:kern w:val="0"/>
      <w:sz w:val="24"/>
      <w:szCs w:val="24"/>
      <w:lang w:val="ru-RU" w:eastAsia="ru-RU" w:bidi="ar-SA"/>
    </w:rPr>
  </w:style>
  <w:style w:type="paragraph" w:styleId="1">
    <w:name w:val="Heading 1"/>
    <w:basedOn w:val="Normal"/>
    <w:uiPriority w:val="99"/>
    <w:qFormat/>
    <w:pPr>
      <w:spacing w:before="108" w:after="108"/>
      <w:ind w:hanging="0"/>
      <w:jc w:val="center"/>
      <w:outlineLvl w:val="0"/>
    </w:pPr>
    <w:rPr>
      <w:b/>
      <w:bCs/>
      <w:color w:val="26282F"/>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Style6">
    <w:name w:val="Footnote Reference"/>
    <w:rPr>
      <w:vertAlign w:val="superscript"/>
    </w:rPr>
  </w:style>
  <w:style w:type="character" w:styleId="EndnoteTextChar">
    <w:name w:val="Endnote Text Char"/>
    <w:uiPriority w:val="99"/>
    <w:qFormat/>
    <w:rPr>
      <w:sz w:val="20"/>
    </w:rPr>
  </w:style>
  <w:style w:type="character" w:styleId="Style7">
    <w:name w:val="Символ концевой сноски"/>
    <w:uiPriority w:val="99"/>
    <w:semiHidden/>
    <w:unhideWhenUsed/>
    <w:qFormat/>
    <w:rPr>
      <w:vertAlign w:val="superscript"/>
    </w:rPr>
  </w:style>
  <w:style w:type="character" w:styleId="Style8">
    <w:name w:val="Endnote Reference"/>
    <w:rPr>
      <w:vertAlign w:val="superscript"/>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Pr>
      <w:rFonts w:ascii="Calibri Light" w:hAnsi="Calibri Light" w:eastAsia="Arial" w:cs="Times New Roman" w:asciiTheme="majorHAnsi" w:eastAsiaTheme="majorEastAsia" w:hAnsiTheme="majorHAnsi"/>
      <w:b/>
      <w:bCs/>
      <w:sz w:val="32"/>
      <w:szCs w:val="32"/>
    </w:rPr>
  </w:style>
  <w:style w:type="character" w:styleId="Style9" w:customStyle="1">
    <w:name w:val="Цветовое выделение"/>
    <w:uiPriority w:val="99"/>
    <w:qFormat/>
    <w:rPr>
      <w:b/>
      <w:color w:val="26282F"/>
    </w:rPr>
  </w:style>
  <w:style w:type="character" w:styleId="Style10" w:customStyle="1">
    <w:name w:val="Гипертекстовая ссылка"/>
    <w:basedOn w:val="Style9"/>
    <w:uiPriority w:val="99"/>
    <w:qFormat/>
    <w:rPr>
      <w:rFonts w:cs="Times New Roman"/>
      <w:b w:val="false"/>
      <w:color w:val="106BBE"/>
    </w:rPr>
  </w:style>
  <w:style w:type="character" w:styleId="Style11" w:customStyle="1">
    <w:name w:val="Цветовое выделение для Текст"/>
    <w:uiPriority w:val="99"/>
    <w:qFormat/>
    <w:rPr>
      <w:rFonts w:ascii="Times New Roman CYR" w:hAnsi="Times New Roman CYR"/>
    </w:rPr>
  </w:style>
  <w:style w:type="character" w:styleId="Style12" w:customStyle="1">
    <w:name w:val="Верхний колонтитул Знак"/>
    <w:basedOn w:val="DefaultParagraphFont"/>
    <w:uiPriority w:val="99"/>
    <w:qFormat/>
    <w:rPr>
      <w:rFonts w:ascii="Times New Roman CYR" w:hAnsi="Times New Roman CYR" w:cs="Times New Roman CYR"/>
      <w:sz w:val="24"/>
      <w:szCs w:val="24"/>
    </w:rPr>
  </w:style>
  <w:style w:type="character" w:styleId="Style13" w:customStyle="1">
    <w:name w:val="Нижний колонтитул Знак"/>
    <w:basedOn w:val="DefaultParagraphFont"/>
    <w:uiPriority w:val="99"/>
    <w:qFormat/>
    <w:rPr>
      <w:rFonts w:ascii="Times New Roman CYR" w:hAnsi="Times New Roman CYR" w:cs="Times New Roman CYR"/>
      <w:sz w:val="24"/>
      <w:szCs w:val="24"/>
    </w:rPr>
  </w:style>
  <w:style w:type="character" w:styleId="Style14" w:customStyle="1">
    <w:name w:val="Добавленный текст"/>
    <w:uiPriority w:val="99"/>
    <w:qFormat/>
    <w:rPr>
      <w:color w:val="000000"/>
    </w:rPr>
  </w:style>
  <w:style w:type="character" w:styleId="-">
    <w:name w:val="Hyperlink"/>
    <w:basedOn w:val="DefaultParagraphFont"/>
    <w:uiPriority w:val="99"/>
    <w:unhideWhenUsed/>
    <w:rPr>
      <w:color w:val="0563C1" w:themeColor="hyperlink"/>
      <w:u w:val="single"/>
    </w:rPr>
  </w:style>
  <w:style w:type="character" w:styleId="Style15" w:customStyle="1">
    <w:name w:val="Текст выноски Знак"/>
    <w:basedOn w:val="DefaultParagraphFont"/>
    <w:uiPriority w:val="99"/>
    <w:semiHidden/>
    <w:qFormat/>
    <w:rPr>
      <w:rFonts w:ascii="Segoe UI" w:hAnsi="Segoe UI" w:cs="Segoe UI"/>
      <w:sz w:val="18"/>
      <w:szCs w:val="18"/>
    </w:rPr>
  </w:style>
  <w:style w:type="character" w:styleId="Annotationreference">
    <w:name w:val="annotation reference"/>
    <w:basedOn w:val="DefaultParagraphFont"/>
    <w:uiPriority w:val="99"/>
    <w:semiHidden/>
    <w:unhideWhenUsed/>
    <w:qFormat/>
    <w:rPr>
      <w:sz w:val="16"/>
      <w:szCs w:val="16"/>
    </w:rPr>
  </w:style>
  <w:style w:type="character" w:styleId="Style16" w:customStyle="1">
    <w:name w:val="Текст примечания Знак"/>
    <w:basedOn w:val="DefaultParagraphFont"/>
    <w:uiPriority w:val="99"/>
    <w:semiHidden/>
    <w:qFormat/>
    <w:rPr>
      <w:rFonts w:ascii="Times New Roman CYR" w:hAnsi="Times New Roman CYR" w:cs="Times New Roman CYR"/>
      <w:sz w:val="20"/>
      <w:szCs w:val="20"/>
    </w:rPr>
  </w:style>
  <w:style w:type="character" w:styleId="Style17" w:customStyle="1">
    <w:name w:val="Тема примечания Знак"/>
    <w:basedOn w:val="Style16"/>
    <w:uiPriority w:val="99"/>
    <w:semiHidden/>
    <w:qFormat/>
    <w:rPr>
      <w:rFonts w:ascii="Times New Roman CYR" w:hAnsi="Times New Roman CYR" w:cs="Times New Roman CYR"/>
      <w:b/>
      <w:bCs/>
      <w:sz w:val="20"/>
      <w:szCs w:val="20"/>
    </w:rPr>
  </w:style>
  <w:style w:type="character" w:styleId="PlaceholderText">
    <w:name w:val="Placeholder Text"/>
    <w:basedOn w:val="DefaultParagraphFont"/>
    <w:uiPriority w:val="99"/>
    <w:semiHidden/>
    <w:qFormat/>
    <w:rPr>
      <w:color w:val="808080"/>
    </w:rPr>
  </w:style>
  <w:style w:type="character" w:styleId="Dash041e0431044b0447043d044b0439char" w:customStyle="1">
    <w:name w:val="dash041e_0431_044b_0447_043d_044b_0439__char"/>
    <w:basedOn w:val="DefaultParagraphFont"/>
    <w:qFormat/>
    <w:rPr/>
  </w:style>
  <w:style w:type="character" w:styleId="UnresolvedMention">
    <w:name w:val="Unresolved Mention"/>
    <w:basedOn w:val="DefaultParagraphFont"/>
    <w:uiPriority w:val="99"/>
    <w:semiHidden/>
    <w:unhideWhenUsed/>
    <w:qFormat/>
    <w:rPr>
      <w:color w:val="605E5C"/>
      <w:shd w:fill="E1DFDD" w:val="clear"/>
    </w:rPr>
  </w:style>
  <w:style w:type="paragraph" w:styleId="Style18">
    <w:name w:val="Заголовок"/>
    <w:basedOn w:val="Normal"/>
    <w:next w:val="Style19"/>
    <w:qFormat/>
    <w:pPr>
      <w:keepNext w:val="true"/>
      <w:spacing w:before="240" w:after="120"/>
    </w:pPr>
    <w:rPr>
      <w:rFonts w:ascii="PT Astra Serif" w:hAnsi="PT Astra Serif"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Mangal"/>
    </w:rPr>
  </w:style>
  <w:style w:type="paragraph" w:styleId="Style21">
    <w:name w:val="Caption"/>
    <w:basedOn w:val="Normal"/>
    <w:uiPriority w:val="35"/>
    <w:semiHidden/>
    <w:unhideWhenUsed/>
    <w:qFormat/>
    <w:pPr>
      <w:spacing w:lineRule="auto" w:line="276"/>
    </w:pPr>
    <w:rPr>
      <w:b/>
      <w:bCs/>
      <w:color w:val="4F81BD" w:themeColor="accent1"/>
      <w:sz w:val="18"/>
      <w:szCs w:val="18"/>
    </w:rPr>
  </w:style>
  <w:style w:type="paragraph" w:styleId="Style22">
    <w:name w:val="Указатель"/>
    <w:basedOn w:val="Normal"/>
    <w:qFormat/>
    <w:pPr>
      <w:suppressLineNumbers/>
    </w:pPr>
    <w:rPr>
      <w:rFonts w:ascii="PT Astra Serif" w:hAnsi="PT Astra Serif" w:cs="Mangal"/>
    </w:rPr>
  </w:style>
  <w:style w:type="paragraph" w:styleId="NoSpacing">
    <w:name w:val="No Spacing"/>
    <w:uiPriority w:val="1"/>
    <w:qFormat/>
    <w:pPr>
      <w:widowControl/>
      <w:bidi w:val="0"/>
      <w:spacing w:lineRule="auto" w:line="240" w:beforeAutospacing="0" w:before="0" w:afterAutospacing="0" w:after="0"/>
      <w:jc w:val="left"/>
    </w:pPr>
    <w:rPr>
      <w:rFonts w:ascii="Calibri" w:hAnsi="Calibri" w:eastAsia="Arial" w:cs="Times New Roman" w:asciiTheme="minorHAnsi" w:eastAsiaTheme="minorEastAsia" w:hAnsiTheme="minorHAnsi"/>
      <w:color w:val="auto"/>
      <w:kern w:val="0"/>
      <w:sz w:val="22"/>
      <w:szCs w:val="22"/>
      <w:lang w:val="ru-RU" w:eastAsia="ru-RU" w:bidi="ar-SA"/>
    </w:rPr>
  </w:style>
  <w:style w:type="paragraph" w:styleId="Style23">
    <w:name w:val="Title"/>
    <w:basedOn w:val="Normal"/>
    <w:uiPriority w:val="10"/>
    <w:qFormat/>
    <w:pPr>
      <w:spacing w:before="300" w:after="200"/>
      <w:contextualSpacing/>
    </w:pPr>
    <w:rPr>
      <w:sz w:val="48"/>
      <w:szCs w:val="48"/>
    </w:rPr>
  </w:style>
  <w:style w:type="paragraph" w:styleId="Style24">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160"/>
      <w:ind w:left="720" w:right="720" w:hanging="0"/>
    </w:pPr>
    <w:rPr>
      <w:i/>
    </w:rPr>
  </w:style>
  <w:style w:type="paragraph" w:styleId="Style25">
    <w:name w:val="Footnote Text"/>
    <w:basedOn w:val="Normal"/>
    <w:uiPriority w:val="99"/>
    <w:semiHidden/>
    <w:unhideWhenUsed/>
    <w:pPr>
      <w:spacing w:lineRule="auto" w:line="240" w:before="0" w:after="40"/>
    </w:pPr>
    <w:rPr>
      <w:sz w:val="18"/>
    </w:rPr>
  </w:style>
  <w:style w:type="paragraph" w:styleId="Style26">
    <w:name w:val="Endnote Text"/>
    <w:basedOn w:val="Normal"/>
    <w:uiPriority w:val="99"/>
    <w:semiHidden/>
    <w:unhideWhenUsed/>
    <w:pPr>
      <w:spacing w:lineRule="auto" w:line="240" w:before="0" w:after="0"/>
    </w:pPr>
    <w:rPr>
      <w:sz w:val="20"/>
    </w:rPr>
  </w:style>
  <w:style w:type="paragraph" w:styleId="12">
    <w:name w:val="TOC 1"/>
    <w:basedOn w:val="Normal"/>
    <w:uiPriority w:val="39"/>
    <w:unhideWhenUsed/>
    <w:pPr>
      <w:spacing w:before="0" w:after="57"/>
      <w:ind w:left="0" w:right="0" w:hanging="0"/>
    </w:pPr>
    <w:rPr/>
  </w:style>
  <w:style w:type="paragraph" w:styleId="21">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7">
    <w:name w:val="Index Heading"/>
    <w:basedOn w:val="Style18"/>
    <w:pPr/>
    <w:rPr/>
  </w:style>
  <w:style w:type="paragraph" w:styleId="Style28">
    <w:name w:val="TOC Heading"/>
    <w:uiPriority w:val="39"/>
    <w:unhideWhenUsed/>
    <w:pPr>
      <w:widowControl/>
      <w:bidi w:val="0"/>
      <w:spacing w:lineRule="auto" w:line="259" w:beforeAutospacing="0" w:before="0" w:afterAutospacing="0" w:after="160"/>
      <w:jc w:val="left"/>
    </w:pPr>
    <w:rPr>
      <w:rFonts w:ascii="Calibri" w:hAnsi="Calibri" w:eastAsia="Arial" w:cs="Times New Roman" w:asciiTheme="minorHAnsi" w:eastAsiaTheme="minorEastAsia" w:hAnsiTheme="minorHAnsi"/>
      <w:color w:val="auto"/>
      <w:kern w:val="0"/>
      <w:sz w:val="22"/>
      <w:szCs w:val="22"/>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Style29" w:customStyle="1">
    <w:name w:val="Текст (справка)"/>
    <w:basedOn w:val="Normal"/>
    <w:uiPriority w:val="99"/>
    <w:qFormat/>
    <w:pPr>
      <w:ind w:left="170" w:right="170" w:hanging="0"/>
      <w:jc w:val="left"/>
    </w:pPr>
    <w:rPr/>
  </w:style>
  <w:style w:type="paragraph" w:styleId="Style30" w:customStyle="1">
    <w:name w:val="Комментарий"/>
    <w:basedOn w:val="Style29"/>
    <w:uiPriority w:val="99"/>
    <w:qFormat/>
    <w:pPr>
      <w:spacing w:before="75" w:after="0"/>
      <w:ind w:left="170" w:right="0" w:hanging="0"/>
      <w:jc w:val="both"/>
    </w:pPr>
    <w:rPr>
      <w:color w:val="353842"/>
    </w:rPr>
  </w:style>
  <w:style w:type="paragraph" w:styleId="Style31" w:customStyle="1">
    <w:name w:val="Информация о версии"/>
    <w:basedOn w:val="Style30"/>
    <w:uiPriority w:val="99"/>
    <w:qFormat/>
    <w:pPr/>
    <w:rPr>
      <w:i/>
      <w:iCs/>
    </w:rPr>
  </w:style>
  <w:style w:type="paragraph" w:styleId="Style32" w:customStyle="1">
    <w:name w:val="Текст информации об изменениях"/>
    <w:basedOn w:val="Normal"/>
    <w:uiPriority w:val="99"/>
    <w:qFormat/>
    <w:pPr/>
    <w:rPr>
      <w:color w:val="353842"/>
      <w:sz w:val="20"/>
      <w:szCs w:val="20"/>
    </w:rPr>
  </w:style>
  <w:style w:type="paragraph" w:styleId="Style33" w:customStyle="1">
    <w:name w:val="Информация об изменениях"/>
    <w:basedOn w:val="Style32"/>
    <w:uiPriority w:val="99"/>
    <w:qFormat/>
    <w:pPr>
      <w:spacing w:before="180" w:after="0"/>
      <w:ind w:left="360" w:right="360" w:hanging="0"/>
    </w:pPr>
    <w:rPr/>
  </w:style>
  <w:style w:type="paragraph" w:styleId="Style34" w:customStyle="1">
    <w:name w:val="Нормальный (таблица)"/>
    <w:basedOn w:val="Normal"/>
    <w:uiPriority w:val="99"/>
    <w:qFormat/>
    <w:pPr>
      <w:ind w:hanging="0"/>
    </w:pPr>
    <w:rPr/>
  </w:style>
  <w:style w:type="paragraph" w:styleId="Style35" w:customStyle="1">
    <w:name w:val="Таблицы (моноширинный)"/>
    <w:basedOn w:val="Normal"/>
    <w:uiPriority w:val="99"/>
    <w:qFormat/>
    <w:pPr>
      <w:ind w:hanging="0"/>
      <w:jc w:val="left"/>
    </w:pPr>
    <w:rPr>
      <w:rFonts w:ascii="Courier New" w:hAnsi="Courier New" w:cs="Courier New"/>
    </w:rPr>
  </w:style>
  <w:style w:type="paragraph" w:styleId="Style36" w:customStyle="1">
    <w:name w:val="Подзаголовок для информации об изменениях"/>
    <w:basedOn w:val="Style32"/>
    <w:uiPriority w:val="99"/>
    <w:qFormat/>
    <w:pPr/>
    <w:rPr>
      <w:b/>
      <w:bCs/>
    </w:rPr>
  </w:style>
  <w:style w:type="paragraph" w:styleId="Style37" w:customStyle="1">
    <w:name w:val="Прижатый влево"/>
    <w:basedOn w:val="Normal"/>
    <w:uiPriority w:val="99"/>
    <w:qFormat/>
    <w:pPr>
      <w:ind w:hanging="0"/>
      <w:jc w:val="left"/>
    </w:pPr>
    <w:rPr/>
  </w:style>
  <w:style w:type="paragraph" w:styleId="Style38">
    <w:name w:val="Колонтитул"/>
    <w:basedOn w:val="Normal"/>
    <w:qFormat/>
    <w:pPr/>
    <w:rPr/>
  </w:style>
  <w:style w:type="paragraph" w:styleId="Style39">
    <w:name w:val="Header"/>
    <w:basedOn w:val="Normal"/>
    <w:uiPriority w:val="99"/>
    <w:unhideWhenUsed/>
    <w:pPr>
      <w:tabs>
        <w:tab w:val="clear" w:pos="720"/>
        <w:tab w:val="center" w:pos="4677" w:leader="none"/>
        <w:tab w:val="right" w:pos="9355" w:leader="none"/>
      </w:tabs>
    </w:pPr>
    <w:rPr/>
  </w:style>
  <w:style w:type="paragraph" w:styleId="Style40">
    <w:name w:val="Footer"/>
    <w:basedOn w:val="Normal"/>
    <w:uiPriority w:val="99"/>
    <w:unhideWhenUsed/>
    <w:pPr>
      <w:tabs>
        <w:tab w:val="clear" w:pos="720"/>
        <w:tab w:val="center" w:pos="4677" w:leader="none"/>
        <w:tab w:val="right" w:pos="9355" w:leader="none"/>
      </w:tabs>
    </w:pPr>
    <w:rPr/>
  </w:style>
  <w:style w:type="paragraph" w:styleId="ConsPlusTitle" w:customStyle="1">
    <w:name w:val="ConsPlusTitle"/>
    <w:uiPriority w:val="99"/>
    <w:qFormat/>
    <w:pPr>
      <w:widowControl w:val="false"/>
      <w:bidi w:val="0"/>
      <w:spacing w:lineRule="auto" w:line="240" w:beforeAutospacing="0" w:before="0" w:afterAutospacing="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Annotationtext">
    <w:name w:val="annotation text"/>
    <w:basedOn w:val="Normal"/>
    <w:uiPriority w:val="99"/>
    <w:semiHidden/>
    <w:unhideWhenUsed/>
    <w:qFormat/>
    <w:pPr/>
    <w:rPr>
      <w:sz w:val="20"/>
      <w:szCs w:val="20"/>
    </w:rPr>
  </w:style>
  <w:style w:type="paragraph" w:styleId="Annotationsubject">
    <w:name w:val="annotation subject"/>
    <w:basedOn w:val="Annotationtext"/>
    <w:uiPriority w:val="99"/>
    <w:semiHidden/>
    <w:unhideWhenUsed/>
    <w:qFormat/>
    <w:pPr/>
    <w:rPr>
      <w:b/>
      <w:bCs/>
    </w:rPr>
  </w:style>
  <w:style w:type="paragraph" w:styleId="ListParagraph">
    <w:name w:val="List Paragraph"/>
    <w:basedOn w:val="Normal"/>
    <w:uiPriority w:val="34"/>
    <w:qFormat/>
    <w:pPr>
      <w:spacing w:before="0" w:after="0"/>
      <w:ind w:left="720" w:firstLine="720"/>
      <w:contextualSpacing/>
    </w:pPr>
    <w:rPr/>
  </w:style>
  <w:style w:type="paragraph" w:styleId="Revision">
    <w:name w:val="Revision"/>
    <w:uiPriority w:val="99"/>
    <w:semiHidden/>
    <w:qFormat/>
    <w:pPr>
      <w:widowControl/>
      <w:bidi w:val="0"/>
      <w:spacing w:lineRule="auto" w:line="240" w:beforeAutospacing="0" w:before="0" w:afterAutospacing="0" w:after="0"/>
      <w:jc w:val="left"/>
    </w:pPr>
    <w:rPr>
      <w:rFonts w:ascii="Times New Roman CYR" w:hAnsi="Times New Roman CYR" w:cs="Times New Roman CYR" w:eastAsia="Arial" w:eastAsiaTheme="minorEastAsia"/>
      <w:color w:val="auto"/>
      <w:kern w:val="0"/>
      <w:sz w:val="24"/>
      <w:szCs w:val="24"/>
      <w:lang w:val="ru-RU" w:eastAsia="ru-RU" w:bidi="ar-SA"/>
    </w:rPr>
  </w:style>
  <w:style w:type="paragraph" w:styleId="NormalWeb">
    <w:name w:val="Normal (Web)"/>
    <w:basedOn w:val="Normal"/>
    <w:uiPriority w:val="99"/>
    <w:unhideWhenUsed/>
    <w:qFormat/>
    <w:pPr>
      <w:widowControl/>
      <w:spacing w:beforeAutospacing="1" w:afterAutospacing="1"/>
      <w:ind w:hanging="0"/>
      <w:jc w:val="left"/>
    </w:pPr>
    <w:rPr>
      <w:rFonts w:ascii="Times New Roman" w:hAnsi="Times New Roman" w:eastAsia="Times New Roman" w:cs="Times New Roman"/>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AAA68-EB1E-453E-A90B-442F3AA3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LibreOffice/7.5.6.2$Linux_X86_64 LibreOffice_project/50$Build-2</Application>
  <AppVersion>15.0000</AppVersion>
  <Pages>4</Pages>
  <Words>744</Words>
  <Characters>5901</Characters>
  <CharactersWithSpaces>6648</CharactersWithSpaces>
  <Paragraphs>20</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2024-08-28T10:53:00Z</dcterms:created>
  <dc:creator>Шайгарданова Регина Айдаровна</dc:creator>
  <dc:description>Документ экспортирован из системы ГАРАНТ</dc:description>
  <dc:language>ru-RU</dc:language>
  <cp:lastModifiedBy/>
  <dcterms:modified xsi:type="dcterms:W3CDTF">2024-09-17T12:06:01Z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