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shd w:val="clear" w:color="ffffff" w:themeColor="background1" w:fill="ffffff" w:themeFill="background1"/>
        <w:jc w:val="right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</w:t>
      </w:r>
      <w:r>
        <w:rPr>
          <w:highlight w:val="none"/>
          <w:shd w:val="clear" w:color="auto" w:fill="ffffff"/>
        </w:rPr>
      </w:r>
    </w:p>
    <w:p>
      <w:pPr>
        <w:pStyle w:val="663"/>
        <w:spacing w:line="360" w:lineRule="auto"/>
        <w:ind w:right="5669" w:firstLine="720"/>
        <w:rPr>
          <w:rFonts w:ascii="Times New Roman" w:hAnsi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</w:r>
    </w:p>
    <w:p>
      <w:pPr>
        <w:pStyle w:val="663"/>
        <w:spacing w:line="360" w:lineRule="auto"/>
        <w:ind w:right="5669" w:firstLine="720"/>
        <w:rPr>
          <w:rFonts w:ascii="Times New Roman" w:hAnsi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</w:r>
    </w:p>
    <w:p>
      <w:pPr>
        <w:pStyle w:val="663"/>
        <w:spacing w:line="360" w:lineRule="auto"/>
        <w:ind w:right="5669" w:firstLine="720"/>
        <w:rPr>
          <w:rFonts w:ascii="Times New Roman" w:hAnsi="Times New Roman"/>
          <w:sz w:val="28"/>
          <w:szCs w:val="28"/>
          <w:highlight w:val="none"/>
          <w:shd w:val="clear" w:color="auto" w:fill="ffffff"/>
          <w:lang w:val="tt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  <w:lang w:val="tt-RU"/>
        </w:rPr>
      </w:r>
    </w:p>
    <w:p>
      <w:pPr>
        <w:pStyle w:val="663"/>
        <w:spacing w:line="360" w:lineRule="auto"/>
        <w:ind w:right="5669" w:firstLine="720"/>
        <w:rPr>
          <w:rFonts w:ascii="Times New Roman" w:hAnsi="Times New Roman"/>
          <w:sz w:val="28"/>
          <w:szCs w:val="28"/>
          <w:highlight w:val="none"/>
          <w:shd w:val="clear" w:color="auto" w:fill="ffffff"/>
          <w:lang w:val="tt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tt-RU"/>
        </w:rPr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  <w:lang w:val="tt-RU"/>
        </w:rPr>
      </w:r>
    </w:p>
    <w:p>
      <w:pPr>
        <w:pStyle w:val="663"/>
        <w:shd w:val="clear" w:color="ffffff" w:themeColor="background1" w:fill="ffffff" w:themeFill="background1"/>
        <w:tabs>
          <w:tab w:val="left" w:pos="0" w:leader="none"/>
          <w:tab w:val="clear" w:pos="720" w:leader="none"/>
        </w:tabs>
        <w:ind w:right="5613" w:firstLine="0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единовременных выплатах материального стимулирования (в виде стипендий) студентам образовательных организаций высшего образования, расположенных на территории Республики Татарстан, 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организациями Республики Татарстан посредством портала «Работа России»</w:t>
      </w:r>
      <w:r>
        <w:rPr>
          <w:highlight w:val="none"/>
          <w:shd w:val="clear" w:color="auto" w:fill="ffffff"/>
        </w:rPr>
      </w:r>
    </w:p>
    <w:p>
      <w:pPr>
        <w:pStyle w:val="663"/>
        <w:ind w:right="5669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663"/>
        <w:ind w:firstLine="513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статьей 139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Бюджетного кодекса Российской Федерации, статьей 8 Федерального закона от 29 декабря 2012 года № 273-ФЗ «Об образовании в Российской Федерации», статьей 44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Бюджетного кодекса Республики Татарстан Кабинет Министров Республики Татарстан ПОСТАНОВЛЯЕТ: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663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Установить единовременную меру материального стимулирования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(в виде стипендий) студентам образовательных организаций высшего образования, расположенных на территории Республики Татарстан, обучающимся по профессионал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организациями Республики Татарстан посредством портала «Работа России», в размере 2 500 рублей.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Утвердить прилагаемые: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Положение о выплате единовременной меры материального стимулирования (в виде стипендий) студентам образовательных организаций высшего образования, расположенных на территории Республики Татарстан, обу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организациями Республики Татарстан посредством портала «Работа России»;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Порядок предоставления иных межбюджетных трансфертов из бюджета Республики Татарстан бюджетам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муниципальных районов и городских округов Республики Татарстан на выплату единовременной меры материального стимулирования (в виде стипендий) студентам образовательных организаций высшего образования, расположенных на территории Республики Татарстан, обуч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организациями Республики Татарстан посредством портала «Работа России»..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Контроль за исполнением настоящего постановления возложить на Министерство образования и науки Республики Татарстан.</w:t>
      </w:r>
      <w:r>
        <w:rPr>
          <w:highlight w:val="none"/>
          <w:shd w:val="clear" w:color="auto" w:fill="ffffff"/>
        </w:rPr>
      </w:r>
    </w:p>
    <w:p>
      <w:pPr>
        <w:pStyle w:val="663"/>
        <w:tabs>
          <w:tab w:val="clear" w:pos="720" w:leader="none"/>
          <w:tab w:val="left" w:pos="6345" w:leader="none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663"/>
        <w:tabs>
          <w:tab w:val="clear" w:pos="720" w:leader="none"/>
          <w:tab w:val="left" w:pos="6345" w:leader="none"/>
        </w:tabs>
        <w:ind w:left="284" w:firstLine="513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663"/>
        <w:tabs>
          <w:tab w:val="clear" w:pos="720" w:leader="none"/>
          <w:tab w:val="left" w:pos="6345" w:leader="none"/>
        </w:tabs>
        <w:ind w:left="284" w:firstLine="513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tbl>
      <w:tblPr>
        <w:tblW w:w="1019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6"/>
        <w:gridCol w:w="5102"/>
      </w:tblGrid>
      <w:tr>
        <w:trPr/>
        <w:tblPrEx/>
        <w:tc>
          <w:tcPr>
            <w:tcW w:w="5096" w:type="dxa"/>
            <w:noWrap w:val="false"/>
            <w:textDirection w:val="lrTb"/>
          </w:tcPr>
          <w:p>
            <w:pPr>
              <w:pStyle w:val="663"/>
              <w:widowControl w:val="off"/>
              <w:numPr>
                <w:numId w:val="0"/>
                <w:ilvl w:val="0"/>
              </w:numPr>
              <w:ind w:left="0" w:firstLine="0"/>
              <w:jc w:val="left"/>
              <w:outlineLvl w:val="0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Премьер-министр</w:t>
            </w:r>
            <w:r>
              <w:rPr>
                <w:highlight w:val="none"/>
                <w:shd w:val="clear" w:color="auto" w:fill="ffffff"/>
              </w:rPr>
            </w:r>
          </w:p>
          <w:p>
            <w:pPr>
              <w:pStyle w:val="663"/>
              <w:widowControl w:val="off"/>
              <w:numPr>
                <w:numId w:val="0"/>
                <w:ilvl w:val="0"/>
              </w:numPr>
              <w:ind w:left="0" w:firstLine="0"/>
              <w:jc w:val="left"/>
              <w:outlineLvl w:val="0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Республики Татарстан</w:t>
            </w:r>
            <w:r>
              <w:rPr>
                <w:highlight w:val="none"/>
                <w:shd w:val="clear" w:color="auto" w:fill="ffffff"/>
              </w:rPr>
            </w:r>
          </w:p>
        </w:tc>
        <w:tc>
          <w:tcPr>
            <w:tcW w:w="5102" w:type="dxa"/>
            <w:noWrap w:val="false"/>
            <w:textDirection w:val="lrTb"/>
          </w:tcPr>
          <w:p>
            <w:pPr>
              <w:pStyle w:val="663"/>
              <w:widowControl w:val="off"/>
              <w:numPr>
                <w:numId w:val="0"/>
                <w:ilvl w:val="0"/>
              </w:numPr>
              <w:ind w:left="0" w:firstLine="0"/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  <w:shd w:val="clear" w:color="auto" w:fill="ffffff"/>
              </w:rPr>
            </w:r>
          </w:p>
          <w:p>
            <w:pPr>
              <w:pStyle w:val="663"/>
              <w:widowControl w:val="off"/>
              <w:numPr>
                <w:numId w:val="0"/>
                <w:ilvl w:val="0"/>
              </w:numPr>
              <w:ind w:left="0" w:firstLine="0"/>
              <w:jc w:val="right"/>
              <w:outlineLvl w:val="0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А.В.Песошин</w:t>
            </w:r>
            <w:r>
              <w:rPr>
                <w:highlight w:val="none"/>
                <w:shd w:val="clear" w:color="auto" w:fill="ffffff"/>
              </w:rPr>
            </w:r>
          </w:p>
        </w:tc>
      </w:tr>
    </w:tbl>
    <w:p>
      <w:pPr>
        <w:pStyle w:val="663"/>
        <w:shd w:val="clear" w:color="ffffff" w:themeColor="background1" w:fill="ffffff" w:themeFill="background1"/>
        <w:ind w:left="6633" w:firstLine="0"/>
        <w:rPr>
          <w:highlight w:val="none"/>
          <w:shd w:val="clear" w:color="auto" w:fill="ffffff"/>
        </w:rPr>
      </w:pPr>
      <w:r>
        <w:rPr>
          <w:shd w:val="clear" w:color="auto" w:fill="ffffff"/>
        </w:rPr>
      </w:r>
      <w:r>
        <w:br w:type="page" w:clear="all"/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3" w:firstLine="0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Кабинета Министров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Татарстан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_________ 2024 № ______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ind w:left="20" w:hanging="20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Положение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ind w:left="20" w:hanging="20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выплате единовременной меры материального стимулирования (в виде стипендий) студентам образовательных организаций высшего образования, расположенных на территории Республики Татарстан, 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организациями Республики Татарстан посредством портала «Работа России»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ind w:left="20" w:hanging="20"/>
        <w:jc w:val="center"/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 Настоящее Положение определяет условия назначения, выплаты и прекращения выплаты единовременной меры материального стимулирования (в виде стипендий) студентам образоват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ельных организаций высшего образования, расположенных на территории Республики Татарстан, обучающимся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ными образовательными организациями Республики Татарстан посредством портала «Работа России» (далее соответственно – стипендия, студент, договор целевого обучения, образовательная организация высшего образования, муниципальная образовательная организация).</w:t>
      </w:r>
      <w:r>
        <w:rPr>
          <w:highlight w:val="none"/>
          <w:shd w:val="clear" w:color="auto" w:fill="ffffff"/>
        </w:rPr>
      </w:r>
    </w:p>
    <w:p>
      <w:pPr>
        <w:pStyle w:val="663"/>
        <w:ind w:right="-7"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Стипендия предоставляется не более чем 150 студентам, заключившим договор целевого обучения, единовременно на весь период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 двух тысяч пятьсот рублей.</w:t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Выплата стипендии студентам производится на основании</w:t>
      </w:r>
      <w:r>
        <w:rPr>
          <w:rStyle w:val="739"/>
          <w:rFonts w:ascii="PT Serif;serif" w:hAnsi="PT Serif;serif"/>
          <w:b w:val="0"/>
          <w:i w:val="0"/>
          <w:caps w:val="0"/>
          <w:smallCaps w:val="0"/>
          <w:color w:val="22272f"/>
          <w:spacing w:val="0"/>
          <w:sz w:val="23"/>
          <w:szCs w:val="28"/>
          <w:shd w:val="clear" w:color="auto" w:fill="ffffff"/>
        </w:rPr>
        <w:t xml:space="preserve"> </w:t>
      </w:r>
      <w:r>
        <w:rPr>
          <w:rStyle w:val="739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заключенного договора о целевом обучении между студентом и муниципальной образовательной организацией в сроки, установленные договором целевого обучения, но не позднее 31 декабря года, в котором заключен договор целевого обучения.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Выплата стипендии студентам осуществляется в размере, установленном постановлением Кабинета Министров Республики Татарстан.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Выплата стипендии студентам, отчисленным из образовательной организации высшего образования в первый год обучения либо расторгнувшим договор целевого обучения до даты выплаты стипендии, не осуществляется.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В случае выявления фактов излишне выплаченных денежных средств стипендии в результате сч</w:t>
      </w: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етной ошибки студент в течение 30 календарных дней со дня получения уведомления муниципальной образовательной организации Республики Татарстан, с которой им заключен договор целевого обучения, возвращают излишне выплаченные средства в добровольном порядке.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Ответственность за целевое использование средств, предусмотренных на выплату стипендии, возлагается на руководителей муниципальных образовательных организаций Республики Татарстан.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Студенты возвращают муниципальным образовательным организациям денежные средства, выплаченные в соответствии с настоящим Положением, в порядке, установленном пунктами 91 - 95 постановления Правительства Российской Федерации </w:t>
      </w:r>
      <w:r>
        <w:rPr>
          <w:rStyle w:val="739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от 27 апреля 2024 г. № 555 «О целевом обучении по образовательным программам среднего профессионального и высшего образования» </w:t>
      </w: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случаях:</w:t>
      </w:r>
    </w:p>
    <w:p>
      <w:pPr>
        <w:pStyle w:val="663"/>
        <w:ind w:firstLine="709"/>
      </w:pPr>
      <w:r>
        <w:rPr>
          <w:rStyle w:val="739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исполнения обязательства по освоению образовательной программы и (или) осуществлению трудовой деятельности в течение срока трудовой деятельности по целевому договору;</w:t>
      </w:r>
    </w:p>
    <w:p>
      <w:pPr>
        <w:pStyle w:val="663"/>
        <w:ind w:firstLine="709"/>
        <w:sectPr>
          <w:headerReference w:type="default" r:id="rId8"/>
          <w:footnotePr/>
          <w:endnotePr/>
          <w:type w:val="nextPage"/>
          <w:pgSz w:w="11906" w:h="16800" w:orient="portrait"/>
          <w:pgMar w:top="1134" w:right="567" w:bottom="1134" w:left="1134" w:header="720" w:footer="0" w:gutter="0"/>
          <w:cols w:num="1" w:sep="0" w:space="1701" w:equalWidth="1"/>
          <w:docGrid w:linePitch="360"/>
          <w:titlePg/>
        </w:sectPr>
      </w:pPr>
      <w:r>
        <w:rPr>
          <w:rStyle w:val="739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расторжения договора о целевом обучении в одностороннем порядке.</w:t>
      </w:r>
      <w:r>
        <w:br w:type="page" w:clear="all"/>
      </w:r>
    </w:p>
    <w:p>
      <w:pPr>
        <w:pStyle w:val="663"/>
        <w:shd w:val="clear" w:color="ffffff" w:themeColor="background1" w:fill="ffffff" w:themeFill="background1"/>
        <w:ind w:left="6633" w:firstLine="0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Кабинета Министров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Татарстан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_________ 2024 № ______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ind w:left="6635" w:right="8" w:firstLine="14"/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left" w:pos="20" w:leader="none"/>
          <w:tab w:val="clear" w:pos="720" w:leader="none"/>
        </w:tabs>
        <w:ind w:left="20" w:hanging="20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left" w:pos="0" w:leader="none"/>
          <w:tab w:val="clear" w:pos="720" w:leader="none"/>
        </w:tabs>
        <w:ind w:left="20" w:hanging="20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иных межбюджетных трансфертов из бюджета Республики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left" w:pos="0" w:leader="none"/>
          <w:tab w:val="clear" w:pos="720" w:leader="none"/>
        </w:tabs>
        <w:ind w:left="20" w:hanging="20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Татарстан бюджетам муниципальных образований Республики Татарстан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финансовое обеспечение затрат муниципальных образовательных организаций, связанных с выплатой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единовременной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меры материального стимулирования студентам образовательных организаций выс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шего образования, расположенных на территории Республики Татарстан, обучающимся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посредством портала «Работа России»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ind w:left="20" w:hanging="20"/>
        <w:jc w:val="center"/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1004" w:leader="none"/>
        </w:tabs>
        <w:spacing w:line="240" w:lineRule="auto"/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 Настоящий Порядок определяет механизм предоставления иных межбюджетных трансфертов из бюджета Республики Татарстан бюджетам муниципальных образований Республики Татарстан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финансовое обеспечение затрат муниципальных образовательных организаций, связанных с выплатой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единовременной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меры материального стимулирования студентам образовательных организаций выс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шего образования, расположенных на территории Республики Татарстан, обучающимся по профессиональным образовательным программам подготовки по направлению «Педагогическое образование», заключившим договоры целевого обучения с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посредством портала «Работа России» (далее соответственно – иные межбюджетные трансферты,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tt-RU"/>
        </w:rPr>
        <w:t xml:space="preserve">муниципальные образования,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студенты, договор целевого обучения).</w:t>
      </w:r>
      <w:r>
        <w:rPr>
          <w:highlight w:val="none"/>
          <w:shd w:val="clear" w:color="auto" w:fill="ffffff"/>
        </w:rPr>
      </w:r>
    </w:p>
    <w:p>
      <w:pPr>
        <w:pStyle w:val="817"/>
        <w:shd w:val="clear" w:color="ffffff" w:themeColor="background1" w:fill="ffffff" w:themeFill="background1"/>
        <w:spacing w:line="240" w:lineRule="auto"/>
        <w:ind w:firstLine="709"/>
        <w:jc w:val="both"/>
        <w:rPr>
          <w:highlight w:val="none"/>
          <w:shd w:val="clear" w:color="auto" w:fill="ffffff"/>
        </w:rPr>
      </w:pPr>
      <w:bookmarkStart w:id="0" w:name="sub_102"/>
      <w:bookmarkEnd w:id="0"/>
      <w:r>
        <w:rPr>
          <w:color w:val="000000"/>
          <w:shd w:val="clear" w:color="auto" w:fill="ffffff"/>
        </w:rPr>
        <w:t xml:space="preserve">2. Главным распорядителем бюджетных </w:t>
      </w:r>
      <w:r>
        <w:rPr>
          <w:color w:val="000000"/>
          <w:shd w:val="clear" w:color="auto" w:fill="ffffff"/>
        </w:rPr>
        <w:t xml:space="preserve">средств</w:t>
      </w:r>
      <w:r>
        <w:rPr>
          <w:color w:val="000000"/>
          <w:shd w:val="clear" w:color="auto" w:fill="ffffff"/>
        </w:rPr>
        <w:t xml:space="preserve">, предоставляемых в соответствии с настоящим Порядком, является Министерство образования и науки Республики Татарстан (далее – Министерство).</w:t>
      </w:r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line="240" w:lineRule="auto"/>
        <w:ind w:firstLine="709"/>
        <w:rPr>
          <w:highlight w:val="none"/>
          <w:shd w:val="clear" w:color="auto" w:fill="ffffff"/>
        </w:rPr>
      </w:pPr>
      <w:bookmarkStart w:id="1" w:name="sub_103"/>
      <w:bookmarkStart w:id="2" w:name="p_11"/>
      <w:bookmarkEnd w:id="1"/>
      <w:bookmarkEnd w:id="2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ные межбюджетные трансферты предоставляются в пределах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бюджетных средств, доведенных до Министерства в установленном порядке на цель, указанные в пункте 1 настоящего Порядка.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="240" w:lineRule="auto"/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Распределение иных межбюджетных трансфертов бюджетам муниципальных образований Республики Татарстан утверждается Кабинетом Министров Республики Татарстан.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Условиями предоставления иных межбюджетных трансфертов являются: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на территории муниципального образования муниципальных образовательных организаций, заключивших договоры целевого обучения со студентами;</w:t>
      </w:r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before="0" w:after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правового акта муниципального образования, определяющего порядок выплаты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единовременной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меры </w:t>
      </w:r>
      <w:r>
        <w:rPr>
          <w:rFonts w:ascii="Times New Roman" w:hAnsi="Times New Roman" w:eastAsia="Tahoma" w:cs="Tahoma"/>
          <w:color w:val="000000"/>
          <w:sz w:val="28"/>
          <w:szCs w:val="28"/>
          <w:shd w:val="clear" w:color="auto" w:fill="ffffff"/>
        </w:rPr>
        <w:t xml:space="preserve">материального стимулирования студентам, заключившим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договоры целевого обучения, и перечень студентов, заключивших договоры целевого обучения;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ичие в бюджете муниципального образования бюджетных ассигнований на исполнение расходных обязательств муниципального образования, в целях финансового обеспечения которых предоставляются иные межбюджетные трансферты в размере, необходимом для их исполнения;</w:t>
      </w:r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before="0" w:after="0" w:line="240" w:lineRule="auto"/>
        <w:rPr>
          <w:highlight w:val="none"/>
          <w:shd w:val="clear" w:color="auto" w:fill="ffffff"/>
        </w:rPr>
      </w:pPr>
      <w:bookmarkStart w:id="3" w:name="startSelection_Копия_8"/>
      <w:bookmarkStart w:id="4" w:name="P005E_1"/>
      <w:bookmarkStart w:id="5" w:name="startSelection_Копия_9"/>
      <w:bookmarkStart w:id="6" w:name="P0060_1"/>
      <w:bookmarkStart w:id="7" w:name="P0062_1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соглашения о предоставлении иных межбюджетных трансфертов между муниципальным образованием и Министерством (далее – соглашение)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Порядка.</w:t>
      </w:r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before="0" w:after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eastAsia="Tahoma" w:cs="Tahoma"/>
          <w:color w:val="000000"/>
          <w:sz w:val="28"/>
          <w:szCs w:val="28"/>
          <w:shd w:val="clear" w:color="auto" w:fill="ffffff"/>
        </w:rPr>
        <w:t xml:space="preserve">Результатом предоставления иных межбюджетных трансфертов является размер единовременной меры материального стимулирования, выплаченной студентам, заключившим договоры целевого обучения.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Для получения иных межбюджетных трансфертов муниципальные образования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, ежегодно, до 20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представляют в Министерство следующие документы: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bookmarkStart w:id="8" w:name="sub_10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заявку о предоставлении иных межбюджетных трансфертов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форме, утвержденной Министерством (далее — заявка);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документа, подтверждающего полномочия лица, подписавшего заявку;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правового акта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определяющего порядок выплаты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единовременной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меры </w:t>
      </w:r>
      <w:r>
        <w:rPr>
          <w:rFonts w:ascii="Times New Roman" w:hAnsi="Times New Roman" w:eastAsia="Tahoma" w:cs="Tahoma"/>
          <w:color w:val="000000"/>
          <w:sz w:val="28"/>
          <w:szCs w:val="28"/>
          <w:shd w:val="clear" w:color="auto" w:fill="ffffff"/>
        </w:rPr>
        <w:t xml:space="preserve">материального стимулирования студентам, заключившим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договоры целевого обучения, и перечень студентов, заключивших договоры целевого обучения, с указанием муниципальных 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выписку из решения муниципального образования о бюджете муниципального образования на соответствующий финансовый год и на плановый период (сводной бюджетной росписи бюджета муниципального района), заверенная уполномоченным лицом, подтверждающая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ичие в бюджете муниципального образования бюджетных ассигнований на исполнение расходных обязательств муниципального образования, в целях финансового обеспечения которых предоставляются иные межбюджетные трансферты в размере, необходимом для их исполнения.</w:t>
      </w:r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before="0" w:after="0" w:line="240" w:lineRule="auto"/>
        <w:rPr>
          <w:highlight w:val="none"/>
          <w:shd w:val="clear" w:color="auto" w:fill="ffffff"/>
        </w:rPr>
      </w:pPr>
      <w:bookmarkStart w:id="9" w:name="p_22"/>
      <w:bookmarkEnd w:id="9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Министерство</w:t>
      </w:r>
      <w:bookmarkStart w:id="10" w:name="p_23"/>
      <w:bookmarkEnd w:id="1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регистрирует заявки, поступившие от муниципальных образований в день их поступления.</w:t>
      </w:r>
      <w:bookmarkStart w:id="11" w:name="sub_105"/>
      <w:bookmarkEnd w:id="11"/>
      <w:r>
        <w:rPr>
          <w:highlight w:val="none"/>
          <w:shd w:val="clear" w:color="auto" w:fill="ffffff"/>
        </w:rPr>
      </w:r>
    </w:p>
    <w:p>
      <w:pPr>
        <w:pStyle w:val="741"/>
        <w:shd w:val="clear" w:color="ffffff" w:themeColor="background1" w:fill="ffffff" w:themeFill="background1"/>
        <w:spacing w:before="0" w:after="0" w:line="240" w:lineRule="auto"/>
        <w:rPr>
          <w:highlight w:val="none"/>
          <w:shd w:val="clear" w:color="auto" w:fill="ffffff"/>
        </w:rPr>
      </w:pPr>
      <w:bookmarkStart w:id="12" w:name="Par0"/>
      <w:bookmarkEnd w:id="1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Документы, поступившие от муниципальных образований, рассматриваются Министерством в 10-дневный срок, исчисляемый в рабочих днях, со дня регистрации заявки.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расс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мотрения документов Министерство в 15-дневный срок, исчисляемый в рабочих днях, со дня регистрации заявки, принимает решение о предоставлении иных межбюджетных трансфертов либо об отказе в предоставлении иных межбюджетных трансфертов, оформляемое приказом.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Министерство в пятидневный срок, исчисляемый в рабочих днях, со дня принятия решения, направляет муниципальным образованиям уведомление о результатах принятого решения.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Основаниями для отказа в предоставлении иных межбюджетных трансфертов являются: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несоблюдение муниципальным образованием условий предоставления иных межбюджетных трансфертов, указанных в пункте 5 настоящего Порядка;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(представление не в полном объеме) муниципальным образованием документов, указанных в пункте 7 настоящего Порядка;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недостоверность  информации, содержащейся в документах, указанных в </w:t>
      </w:r>
      <w:r>
        <w:fldChar w:fldCharType="begin"/>
      </w:r>
      <w:r>
        <w:rPr>
          <w:rStyle w:val="73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instrText xml:space="preserve"> HYPERLINK "https://internet.garant.ru/" \l "/document/410494246/entry/107"</w:instrText>
      </w:r>
      <w:r>
        <w:rPr>
          <w:rStyle w:val="73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73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 xml:space="preserve">пункте 7</w:t>
      </w:r>
      <w:r>
        <w:rPr>
          <w:rStyle w:val="735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настоящего Порядка;</w:t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лимитов бюджетных ассигнований и лимитов бюджетных обязательств, доведенных до Министерства в установленном порядке на цели, указанные в пункте 1 настоящего Порядка.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отказа в предоставлении иных межбюджетных трансфертов в </w:t>
      </w:r>
      <w:r>
        <w:rPr>
          <w:rStyle w:val="73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уведомлении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результатах </w:t>
      </w:r>
      <w:r>
        <w:rPr>
          <w:rStyle w:val="73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принятого решения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указываются основания отказа.</w:t>
      </w:r>
    </w:p>
    <w:p>
      <w:pPr>
        <w:pStyle w:val="817"/>
        <w:shd w:val="clear" w:color="ffffff" w:themeColor="background1" w:fill="ffffff" w:themeFill="background1"/>
        <w:ind w:firstLine="709"/>
        <w:jc w:val="both"/>
        <w:rPr>
          <w:highlight w:val="non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Муниципальное образование вправе подать повторно заявку в пятидневный срок со дня получения уведомления об отказе в предоставлении иных межбюджетных трансфертов при условии выполнения требований, установленных настоящим Порядком.</w:t>
      </w:r>
      <w:r>
        <w:rPr>
          <w:highlight w:val="none"/>
          <w:shd w:val="clear" w:color="auto" w:fill="ffffff"/>
        </w:rPr>
      </w:r>
    </w:p>
    <w:p>
      <w:pPr>
        <w:pStyle w:val="817"/>
        <w:shd w:val="clear" w:color="ffffff" w:themeColor="background1" w:fill="ffffff" w:themeFill="background1"/>
        <w:ind w:firstLine="709"/>
        <w:jc w:val="both"/>
        <w:rPr>
          <w:highlight w:val="none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Порядок рассмотрения заявок</w:t>
      </w:r>
      <w:r>
        <w:rPr>
          <w:color w:val="000000"/>
          <w:shd w:val="clear" w:color="auto" w:fill="ffffff"/>
        </w:rPr>
        <w:t xml:space="preserve">,</w:t>
      </w:r>
      <w:r>
        <w:rPr>
          <w:color w:val="000000"/>
          <w:shd w:val="clear" w:color="auto" w:fill="ffffff"/>
        </w:rPr>
        <w:t xml:space="preserve"> отправленных повторно, аналогичен порядку рассмотрения заявок, поданных впервые.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bookmarkStart w:id="13" w:name="sub_106"/>
      <w:bookmarkEnd w:id="1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Иные межбюджетные трансферты предоставляются на основании соглашения, заключаемого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ежду Министерством и муниципальным образованием в 15-дневный срок, исчисляемый в рабочих днях, с даты принятия Министерством решения о предоставлении иных межбюджетных трансфертов, по типовой форме, утвержденной Министерством финансов Республики Татарстан.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соглашении предусматриваются: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целевое назначение и условия использования иных межбюджетных трансфертов;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порядок, размер и сроки перечисления иных межбюджетных трансфертов;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значения результата предоставления иных межбюджетных трансфертов;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порядок, сроки и формы представления отчета о расходах, в целях которых предоставляются иные межбюджетные трансферты, и отчета о достижении значения результата предоставления иных межбюджетных трансфертов и обязательствах, принятых в целях его достижения; 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последствия недостижения установленного значения результата предоставления иных межбюджетных трансфертов;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осуществления контроля Министерством и органами государственного финансового контроля за соблюдением муниципальным образованием обязательств по использованию иных межбюджетных трансфертов, предусмотренным соглашением и настоящим Порядком;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сторон за неисполнение или ненадлежащее исполнение обязательств по соглашению, предусмотренная настоящим Порядком.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 w:cs="Tahoma"/>
          <w:color w:val="000000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11. Объем иных межбюджетных трансфертов, предоставляемых бюджету муниципального образования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определяется по следующей формуле: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jc w:val="center"/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jc w:val="center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P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 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где: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 – 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единовременной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меры материального стимулирования, равный 2,5 тыс. 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 количество студентов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-том муниципальном образовании, заключивших договор целевого обучения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муниципальными образовательными организациями.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Министерство в 10-дневный срок, исчисляемый в рабочих днях, со дня закл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ючения соглашения перечисляет иные межбюджетные трансферты муниципальным образованиям на единые счета бюджетов муниципальных образований, открытые финансовому органу муниципального образования в  Управлении Федерального казначейства по Республике Татарстан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13. Муниципальное образование ежеквартально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не позднее 15 числа месяца, следующего за отчетным кварталом, а также до 15 января года, следующего за годом предоставления субсидии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представляет в Министерство отчет о расходах, в целях которых предоставляются иные межбюджетные трансферты, и отчет о достижении значения результата предоставления иных межбюджетных трансфертов и обязательствах, принятых в целях его достижения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 формам, прилагаемым к типовой форме соглашения, установленной Министерством финансов Республики Татарстан.</w:t>
      </w:r>
    </w:p>
    <w:p>
      <w:pPr>
        <w:pStyle w:val="663"/>
        <w:shd w:val="clear" w:color="ffffff" w:themeColor="background1" w:fill="ffffff" w:themeFill="background1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14. Министерство осуществляет проверку представленных муниципальным образованием отчетов, предусмотренных пунктом 13 настоящего Порядка, в течение 10 рабочих дней с даты их получения.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bookmarkStart w:id="14" w:name="sub_111_Копия_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15. Муниципальное образование несет ответственность в соответствии с законодательством Российской Федерации за недостоверность представляемых отчетных сведений и нецелевое использование иных межбюджетных трансфертов.</w:t>
      </w:r>
      <w:bookmarkEnd w:id="14"/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</w:pP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16. В случае н</w:t>
      </w: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арушения муниципальным образованием условий, установленных при предоставлении иных межбюджетных трансфертов, выявленного в том числе по фактам проверок, проведенных Министерством и органами государственного финансового контроля, а также недостижения значен</w:t>
      </w: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ия результата предоставления иного межбюджетного трансферта, муниципальное образование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Министерства.</w:t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</w:pPr>
      <w:bookmarkStart w:id="15" w:name="sub_114_Копия_1"/>
      <w:bookmarkStart w:id="16" w:name="sub_113_Копия_1"/>
      <w:bookmarkEnd w:id="16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17. Не использованные по состоянию на 1 января года, следующего за годом предоставления иных межбюджетных трансфертов, иные межбюджетные трансферты подлежат возврату муниципальными образованиями в доход бюджета Республики Татарстан до 15 февраля года, </w:t>
      </w: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следующего за годом предоставления иных межбюджетных трансфертов, в порядке, установленном соглашением.</w:t>
      </w:r>
      <w:bookmarkEnd w:id="15"/>
    </w:p>
    <w:p>
      <w:pPr>
        <w:pStyle w:val="741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 w:lineRule="auto"/>
        <w:ind w:left="20" w:firstLine="689"/>
      </w:pPr>
      <w:bookmarkStart w:id="17" w:name="p_46"/>
      <w:bookmarkEnd w:id="17"/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В случае если неиспользованный остаток иных межбюджетных трансфертов не перечислен в доход бюджета </w:t>
      </w:r>
      <w:r>
        <w:rPr>
          <w:rStyle w:val="737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bidi="zh-CN"/>
        </w:rPr>
        <w:t xml:space="preserve">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>
      <w:pPr>
        <w:pStyle w:val="741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 w:lineRule="auto"/>
        <w:ind w:left="20" w:firstLine="689"/>
        <w:rPr>
          <w:highlight w:val="none"/>
          <w:shd w:val="clear" w:color="auto" w:fill="ffffff"/>
        </w:rPr>
      </w:pPr>
      <w:bookmarkStart w:id="18" w:name="p_50"/>
      <w:bookmarkStart w:id="19" w:name="p_47"/>
      <w:bookmarkStart w:id="20" w:name="entry_1703"/>
      <w:bookmarkEnd w:id="18"/>
      <w:bookmarkEnd w:id="19"/>
      <w:bookmarkEnd w:id="2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18. 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 и соглашением.</w:t>
      </w:r>
      <w:r>
        <w:rPr>
          <w:highlight w:val="none"/>
          <w:shd w:val="clear" w:color="auto" w:fill="ffffff"/>
        </w:rPr>
      </w:r>
    </w:p>
    <w:p>
      <w:pPr>
        <w:pStyle w:val="741"/>
        <w:widowControl/>
        <w:shd w:val="clear" w:color="ffffff" w:themeColor="background1" w:fill="ffffff" w:themeFill="background1"/>
        <w:spacing w:before="0" w:after="0" w:line="240" w:lineRule="auto"/>
        <w:ind w:firstLine="0"/>
        <w:rPr>
          <w:highlight w:val="none"/>
          <w:shd w:val="clear" w:color="auto" w:fill="ffffff"/>
        </w:rPr>
      </w:pPr>
      <w:bookmarkStart w:id="21" w:name="p_51"/>
      <w:bookmarkEnd w:id="2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19. В случае нецелевого использования иных межбюджетных трансфертов и (или) наруше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муниципальным образованием условий и порядка их предоставления, в том числе в случае, указанным в пункте 17 настоящего Порядка, к муниципальному образованию применяются меры принуждения, предусмотренные бюджетным законодательством Российской Федерации.</w:t>
      </w:r>
      <w:r>
        <w:rPr>
          <w:highlight w:val="none"/>
          <w:shd w:val="clear" w:color="auto" w:fill="ffffff"/>
        </w:rPr>
      </w:r>
    </w:p>
    <w:p>
      <w:pPr>
        <w:pStyle w:val="741"/>
        <w:widowControl/>
        <w:shd w:val="clear" w:color="ffffff" w:themeColor="background1" w:fill="ffffff" w:themeFill="background1"/>
        <w:spacing w:before="0" w:after="0" w:line="240" w:lineRule="auto"/>
        <w:ind w:firstLine="0"/>
        <w:rPr>
          <w:highlight w:val="none"/>
          <w:shd w:val="clear" w:color="auto" w:fill="ffffff"/>
        </w:rPr>
      </w:pPr>
      <w:bookmarkStart w:id="22" w:name="p_53"/>
      <w:bookmarkEnd w:id="2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20. Контроль за целевым использованием иных межбюджетных трансфертов осуществляется Министерством в соответствии с законодательством.</w:t>
      </w:r>
      <w:r>
        <w:rPr>
          <w:highlight w:val="none"/>
          <w:shd w:val="clear" w:color="auto" w:fill="ffffff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highlight w:val="none"/>
          <w:shd w:val="clear" w:color="auto" w:fill="ffffff"/>
        </w:rPr>
      </w:pPr>
      <w:r>
        <w:rPr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663"/>
        <w:ind w:firstLine="709"/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shd w:val="clear" w:color="auto" w:fill="ffffff"/>
        </w:rPr>
      </w:r>
    </w:p>
    <w:p>
      <w:pPr>
        <w:pStyle w:val="663"/>
        <w:ind w:firstLine="709"/>
        <w:rPr>
          <w:rFonts w:ascii="Times New Roman" w:hAnsi="Times New Roman" w:eastAsia="Arial"/>
          <w:color w:val="000000"/>
          <w:sz w:val="28"/>
          <w:szCs w:val="28"/>
          <w:highlight w:val="none"/>
          <w:shd w:val="clear" w:color="auto" w:fill="ffffff"/>
          <w:lang w:bidi="ru-RU"/>
        </w:rPr>
      </w:pPr>
      <w:r>
        <w:rPr>
          <w:rFonts w:ascii="Times New Roman" w:hAnsi="Times New Roman" w:eastAsia="Arial"/>
          <w:color w:val="000000"/>
          <w:sz w:val="28"/>
          <w:szCs w:val="28"/>
          <w:shd w:val="clear" w:color="auto" w:fill="ffffff"/>
          <w:lang w:bidi="ru-RU"/>
        </w:rPr>
      </w:r>
      <w:r>
        <w:rPr>
          <w:rFonts w:ascii="Times New Roman" w:hAnsi="Times New Roman" w:eastAsia="Arial"/>
          <w:color w:val="000000"/>
          <w:sz w:val="28"/>
          <w:szCs w:val="28"/>
          <w:highlight w:val="none"/>
          <w:shd w:val="clear" w:color="auto" w:fill="ffffff"/>
          <w:lang w:bidi="ru-RU"/>
        </w:rPr>
      </w:r>
    </w:p>
    <w:p>
      <w:pPr>
        <w:pStyle w:val="663"/>
        <w:shd w:val="clear" w:color="ffffff" w:themeColor="background1" w:fill="ffffff" w:themeFill="background1"/>
        <w:tabs>
          <w:tab w:val="clear" w:pos="72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0" w:firstLine="689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ffffff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00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PT Serif;serif">
    <w:panose1 w:val="020A0603040505020204"/>
  </w:font>
  <w:font w:name="Verdana">
    <w:panose1 w:val="020B0604030504040204"/>
  </w:font>
  <w:font w:name="0">
    <w:panose1 w:val="02000603000000000000"/>
  </w:font>
  <w:font w:name="Tahoma">
    <w:panose1 w:val="020B0604030504040204"/>
  </w:font>
  <w:font w:name="Noto Sans Devanagari">
    <w:panose1 w:val="020B050204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  <w:p>
    <w:pPr>
      <w:pStyle w:val="815"/>
      <w:jc w:val="center"/>
      <w:rPr>
        <w:rFonts w:ascii="Times New Roman" w:hAnsi="Times New Roman" w:cs="Times New Roman"/>
        <w:sz w:val="14"/>
        <w:szCs w:val="28"/>
      </w:rPr>
    </w:pPr>
    <w:r>
      <w:rPr>
        <w:rFonts w:ascii="Times New Roman" w:hAnsi="Times New Roman" w:cs="Times New Roman"/>
        <w:sz w:val="14"/>
        <w:szCs w:val="28"/>
      </w:rPr>
    </w:r>
    <w:r>
      <w:rPr>
        <w:rFonts w:ascii="Times New Roman" w:hAnsi="Times New Roman" w:cs="Times New Roman"/>
        <w:sz w:val="14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</w:r>
  </w:p>
  <w:p>
    <w:pPr>
      <w:pStyle w:val="815"/>
      <w:jc w:val="center"/>
      <w:rPr>
        <w:rFonts w:ascii="Times New Roman" w:hAnsi="Times New Roman" w:cs="Times New Roman"/>
        <w:sz w:val="14"/>
        <w:szCs w:val="28"/>
      </w:rPr>
    </w:pPr>
    <w:r>
      <w:rPr>
        <w:rFonts w:ascii="Times New Roman" w:hAnsi="Times New Roman" w:cs="Times New Roman"/>
        <w:sz w:val="14"/>
        <w:szCs w:val="28"/>
      </w:rPr>
    </w:r>
    <w:r>
      <w:rPr>
        <w:rFonts w:ascii="Times New Roman" w:hAnsi="Times New Roman" w:cs="Times New Roman"/>
        <w:sz w:val="14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63" w:default="1">
    <w:name w:val="Normal"/>
    <w:qFormat/>
    <w:pPr>
      <w:widowControl w:val="off"/>
      <w:spacing w:before="0" w:after="0"/>
      <w:ind w:firstLine="720"/>
      <w:jc w:val="both"/>
    </w:pPr>
    <w:rPr>
      <w:rFonts w:ascii="Arial" w:hAnsi="Arial" w:eastAsia="Times New Roman" w:cs="Arial"/>
      <w:color w:val="auto"/>
      <w:sz w:val="24"/>
      <w:szCs w:val="24"/>
      <w:lang w:val="ru-RU" w:eastAsia="ru-RU" w:bidi="ar-SA"/>
    </w:rPr>
  </w:style>
  <w:style w:type="paragraph" w:styleId="664">
    <w:name w:val="Heading 1"/>
    <w:basedOn w:val="663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65">
    <w:name w:val="Heading 2"/>
    <w:basedOn w:val="664"/>
    <w:uiPriority w:val="99"/>
    <w:qFormat/>
    <w:pPr>
      <w:outlineLvl w:val="1"/>
    </w:pPr>
  </w:style>
  <w:style w:type="paragraph" w:styleId="666">
    <w:name w:val="Heading 3"/>
    <w:basedOn w:val="665"/>
    <w:uiPriority w:val="99"/>
    <w:qFormat/>
    <w:pPr>
      <w:outlineLvl w:val="2"/>
    </w:pPr>
  </w:style>
  <w:style w:type="paragraph" w:styleId="667">
    <w:name w:val="Heading 4"/>
    <w:basedOn w:val="666"/>
    <w:uiPriority w:val="99"/>
    <w:qFormat/>
    <w:pPr>
      <w:outlineLvl w:val="3"/>
    </w:pPr>
  </w:style>
  <w:style w:type="paragraph" w:styleId="668">
    <w:name w:val="Heading 5"/>
    <w:basedOn w:val="663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69">
    <w:name w:val="Heading 6"/>
    <w:basedOn w:val="663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70">
    <w:name w:val="Heading 7"/>
    <w:basedOn w:val="663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71">
    <w:name w:val="Heading 8"/>
    <w:basedOn w:val="663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72">
    <w:name w:val="Heading 9"/>
    <w:basedOn w:val="663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  <w:qFormat/>
  </w:style>
  <w:style w:type="character" w:styleId="674" w:customStyle="1">
    <w:name w:val="Heading 5 Char"/>
    <w:basedOn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7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7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7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73"/>
    <w:uiPriority w:val="10"/>
    <w:qFormat/>
    <w:rPr>
      <w:sz w:val="48"/>
      <w:szCs w:val="48"/>
    </w:rPr>
  </w:style>
  <w:style w:type="character" w:styleId="680" w:customStyle="1">
    <w:name w:val="Subtitle Char"/>
    <w:basedOn w:val="673"/>
    <w:uiPriority w:val="11"/>
    <w:qFormat/>
    <w:rPr>
      <w:sz w:val="24"/>
      <w:szCs w:val="24"/>
    </w:rPr>
  </w:style>
  <w:style w:type="character" w:styleId="681" w:customStyle="1">
    <w:name w:val="Quote Char"/>
    <w:uiPriority w:val="29"/>
    <w:qFormat/>
    <w:rPr>
      <w:i/>
    </w:rPr>
  </w:style>
  <w:style w:type="character" w:styleId="682" w:customStyle="1">
    <w:name w:val="Intense Quote Char"/>
    <w:uiPriority w:val="30"/>
    <w:qFormat/>
    <w:rPr>
      <w:i/>
    </w:rPr>
  </w:style>
  <w:style w:type="character" w:styleId="683" w:customStyle="1">
    <w:name w:val="Header Char"/>
    <w:basedOn w:val="673"/>
    <w:uiPriority w:val="99"/>
    <w:qFormat/>
  </w:style>
  <w:style w:type="character" w:styleId="684" w:customStyle="1">
    <w:name w:val="Caption Char"/>
    <w:uiPriority w:val="99"/>
    <w:qFormat/>
  </w:style>
  <w:style w:type="character" w:styleId="685" w:customStyle="1">
    <w:name w:val="Footnote Text Char"/>
    <w:uiPriority w:val="99"/>
    <w:qFormat/>
    <w:rPr>
      <w:sz w:val="18"/>
    </w:rPr>
  </w:style>
  <w:style w:type="character" w:styleId="686" w:customStyle="1">
    <w:name w:val="Endnote Text Char"/>
    <w:uiPriority w:val="99"/>
    <w:qFormat/>
    <w:rPr>
      <w:sz w:val="20"/>
    </w:rPr>
  </w:style>
  <w:style w:type="character" w:styleId="687" w:customStyle="1">
    <w:name w:val="Heading 1 Char"/>
    <w:basedOn w:val="673"/>
    <w:uiPriority w:val="9"/>
    <w:qFormat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73"/>
    <w:uiPriority w:val="9"/>
    <w:qFormat/>
    <w:rPr>
      <w:rFonts w:ascii="Arial" w:hAnsi="Arial" w:eastAsia="Arial" w:cs="Arial"/>
      <w:sz w:val="34"/>
    </w:rPr>
  </w:style>
  <w:style w:type="character" w:styleId="689" w:customStyle="1">
    <w:name w:val="Heading 3 Char"/>
    <w:basedOn w:val="673"/>
    <w:uiPriority w:val="9"/>
    <w:qFormat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7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7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7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7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Заголовок Знак"/>
    <w:basedOn w:val="673"/>
    <w:uiPriority w:val="10"/>
    <w:qFormat/>
    <w:rPr>
      <w:sz w:val="48"/>
      <w:szCs w:val="48"/>
    </w:rPr>
  </w:style>
  <w:style w:type="character" w:styleId="697" w:customStyle="1">
    <w:name w:val="Подзаголовок Знак"/>
    <w:basedOn w:val="673"/>
    <w:uiPriority w:val="11"/>
    <w:qFormat/>
    <w:rPr>
      <w:sz w:val="24"/>
      <w:szCs w:val="24"/>
    </w:rPr>
  </w:style>
  <w:style w:type="character" w:styleId="698" w:customStyle="1">
    <w:name w:val="Цитата 2 Знак"/>
    <w:uiPriority w:val="29"/>
    <w:qFormat/>
    <w:rPr>
      <w:i/>
    </w:rPr>
  </w:style>
  <w:style w:type="character" w:styleId="699" w:customStyle="1">
    <w:name w:val="Выделенная цитата Знак"/>
    <w:uiPriority w:val="30"/>
    <w:qFormat/>
    <w:rPr>
      <w:i/>
    </w:rPr>
  </w:style>
  <w:style w:type="character" w:styleId="700" w:customStyle="1">
    <w:name w:val="Верхний колонтитул Знак1"/>
    <w:basedOn w:val="673"/>
    <w:uiPriority w:val="99"/>
    <w:qFormat/>
  </w:style>
  <w:style w:type="character" w:styleId="701" w:customStyle="1">
    <w:name w:val="Footer Char"/>
    <w:basedOn w:val="673"/>
    <w:uiPriority w:val="99"/>
    <w:qFormat/>
  </w:style>
  <w:style w:type="character" w:styleId="702" w:customStyle="1">
    <w:name w:val="Нижний колонтитул Знак1"/>
    <w:uiPriority w:val="99"/>
    <w:qFormat/>
  </w:style>
  <w:style w:type="character" w:styleId="703" w:customStyle="1">
    <w:name w:val="Текст сноски Знак"/>
    <w:uiPriority w:val="99"/>
    <w:qFormat/>
    <w:rPr>
      <w:sz w:val="18"/>
    </w:rPr>
  </w:style>
  <w:style w:type="character" w:styleId="704" w:customStyle="1">
    <w:name w:val="Символ сноски"/>
    <w:uiPriority w:val="99"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Текст концевой сноски Знак"/>
    <w:uiPriority w:val="99"/>
    <w:qFormat/>
    <w:rPr>
      <w:sz w:val="20"/>
    </w:rPr>
  </w:style>
  <w:style w:type="character" w:styleId="70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8">
    <w:name w:val="endnote reference"/>
    <w:rPr>
      <w:vertAlign w:val="superscript"/>
    </w:rPr>
  </w:style>
  <w:style w:type="character" w:styleId="709" w:customStyle="1">
    <w:name w:val="Заголовок 1 Знак"/>
    <w:basedOn w:val="673"/>
    <w:uiPriority w:val="99"/>
    <w:qFormat/>
    <w:rPr>
      <w:rFonts w:ascii="Cambria" w:hAnsi="Cambria" w:cs="Times New Roman"/>
      <w:b/>
      <w:sz w:val="32"/>
    </w:rPr>
  </w:style>
  <w:style w:type="character" w:styleId="710" w:customStyle="1">
    <w:name w:val="Заголовок 2 Знак"/>
    <w:basedOn w:val="673"/>
    <w:uiPriority w:val="9"/>
    <w:semiHidden/>
    <w:qFormat/>
    <w:rPr>
      <w:rFonts w:ascii="Cambria" w:hAnsi="Cambria" w:cs="Times New Roman"/>
      <w:b/>
      <w:i/>
      <w:sz w:val="28"/>
    </w:rPr>
  </w:style>
  <w:style w:type="character" w:styleId="711" w:customStyle="1">
    <w:name w:val="Заголовок 3 Знак"/>
    <w:basedOn w:val="673"/>
    <w:uiPriority w:val="9"/>
    <w:semiHidden/>
    <w:qFormat/>
    <w:rPr>
      <w:rFonts w:ascii="Cambria" w:hAnsi="Cambria" w:cs="Times New Roman"/>
      <w:b/>
      <w:sz w:val="26"/>
    </w:rPr>
  </w:style>
  <w:style w:type="character" w:styleId="712" w:customStyle="1">
    <w:name w:val="Заголовок 4 Знак"/>
    <w:basedOn w:val="673"/>
    <w:uiPriority w:val="9"/>
    <w:semiHidden/>
    <w:qFormat/>
    <w:rPr>
      <w:rFonts w:cs="Times New Roman"/>
      <w:b/>
      <w:sz w:val="28"/>
    </w:rPr>
  </w:style>
  <w:style w:type="character" w:styleId="713" w:customStyle="1">
    <w:name w:val="Цветовое выделение"/>
    <w:uiPriority w:val="99"/>
    <w:qFormat/>
    <w:rPr>
      <w:b/>
      <w:color w:val="26282f"/>
    </w:rPr>
  </w:style>
  <w:style w:type="character" w:styleId="714" w:customStyle="1">
    <w:name w:val="Гипертекстовая ссылка"/>
    <w:uiPriority w:val="99"/>
    <w:qFormat/>
    <w:rPr>
      <w:color w:val="106bbe"/>
    </w:rPr>
  </w:style>
  <w:style w:type="character" w:styleId="715" w:customStyle="1">
    <w:name w:val="Активная гипертекстовая ссылка"/>
    <w:uiPriority w:val="99"/>
    <w:qFormat/>
    <w:rPr>
      <w:color w:val="106bbe"/>
      <w:u w:val="single"/>
    </w:rPr>
  </w:style>
  <w:style w:type="character" w:styleId="716" w:customStyle="1">
    <w:name w:val="Выделение для Базового Поиска"/>
    <w:uiPriority w:val="99"/>
    <w:qFormat/>
    <w:rPr>
      <w:b/>
      <w:color w:val="0058a9"/>
    </w:rPr>
  </w:style>
  <w:style w:type="character" w:styleId="717" w:customStyle="1">
    <w:name w:val="Выделение для Базового Поиска (курсив)"/>
    <w:uiPriority w:val="99"/>
    <w:qFormat/>
    <w:rPr>
      <w:b/>
      <w:i/>
      <w:color w:val="0058a9"/>
    </w:rPr>
  </w:style>
  <w:style w:type="character" w:styleId="718" w:customStyle="1">
    <w:name w:val="Заголовок своего сообщения"/>
    <w:uiPriority w:val="99"/>
    <w:qFormat/>
    <w:rPr>
      <w:b/>
      <w:color w:val="26282f"/>
    </w:rPr>
  </w:style>
  <w:style w:type="character" w:styleId="719" w:customStyle="1">
    <w:name w:val="Заголовок чужого сообщения"/>
    <w:uiPriority w:val="99"/>
    <w:qFormat/>
    <w:rPr>
      <w:b/>
      <w:color w:val="ff0000"/>
    </w:rPr>
  </w:style>
  <w:style w:type="character" w:styleId="720" w:customStyle="1">
    <w:name w:val="Найденные слова"/>
    <w:uiPriority w:val="99"/>
    <w:qFormat/>
    <w:rPr>
      <w:color w:val="26282f"/>
      <w:shd w:val="clear" w:color="auto" w:fill="fff580"/>
    </w:rPr>
  </w:style>
  <w:style w:type="character" w:styleId="721" w:customStyle="1">
    <w:name w:val="Не вступил в силу"/>
    <w:uiPriority w:val="99"/>
    <w:qFormat/>
    <w:rPr>
      <w:color w:val="000000"/>
      <w:shd w:val="clear" w:color="auto" w:fill="d8ede8"/>
    </w:rPr>
  </w:style>
  <w:style w:type="character" w:styleId="722" w:customStyle="1">
    <w:name w:val="Опечатки"/>
    <w:uiPriority w:val="99"/>
    <w:qFormat/>
    <w:rPr>
      <w:color w:val="ff0000"/>
    </w:rPr>
  </w:style>
  <w:style w:type="character" w:styleId="723" w:customStyle="1">
    <w:name w:val="Продолжение ссылки"/>
    <w:uiPriority w:val="99"/>
    <w:qFormat/>
  </w:style>
  <w:style w:type="character" w:styleId="724" w:customStyle="1">
    <w:name w:val="Сравнение редакций"/>
    <w:uiPriority w:val="99"/>
    <w:qFormat/>
    <w:rPr>
      <w:color w:val="26282f"/>
    </w:rPr>
  </w:style>
  <w:style w:type="character" w:styleId="725" w:customStyle="1">
    <w:name w:val="Сравнение редакций. Добавленный фрагмент"/>
    <w:uiPriority w:val="99"/>
    <w:qFormat/>
    <w:rPr>
      <w:color w:val="000000"/>
      <w:shd w:val="clear" w:color="auto" w:fill="c1d7ff"/>
    </w:rPr>
  </w:style>
  <w:style w:type="character" w:styleId="726" w:customStyle="1">
    <w:name w:val="Сравнение редакций. Удаленный фрагмент"/>
    <w:uiPriority w:val="99"/>
    <w:qFormat/>
    <w:rPr>
      <w:color w:val="000000"/>
      <w:shd w:val="clear" w:color="auto" w:fill="c4c413"/>
    </w:rPr>
  </w:style>
  <w:style w:type="character" w:styleId="727" w:customStyle="1">
    <w:name w:val="Ссылка на утративший силу документ"/>
    <w:uiPriority w:val="99"/>
    <w:qFormat/>
    <w:rPr>
      <w:color w:val="749232"/>
    </w:rPr>
  </w:style>
  <w:style w:type="character" w:styleId="728" w:customStyle="1">
    <w:name w:val="Утратил силу"/>
    <w:uiPriority w:val="99"/>
    <w:qFormat/>
    <w:rPr>
      <w:strike/>
      <w:color w:val="666600"/>
    </w:rPr>
  </w:style>
  <w:style w:type="character" w:styleId="729" w:customStyle="1">
    <w:name w:val="Текст выноски Знак"/>
    <w:basedOn w:val="673"/>
    <w:uiPriority w:val="99"/>
    <w:semiHidden/>
    <w:qFormat/>
    <w:rPr>
      <w:rFonts w:ascii="Tahoma" w:hAnsi="Tahoma" w:cs="Times New Roman"/>
      <w:sz w:val="16"/>
    </w:rPr>
  </w:style>
  <w:style w:type="character" w:styleId="730">
    <w:name w:val="annotation reference"/>
    <w:basedOn w:val="673"/>
    <w:uiPriority w:val="99"/>
    <w:semiHidden/>
    <w:unhideWhenUsed/>
    <w:qFormat/>
    <w:rPr>
      <w:rFonts w:cs="Times New Roman"/>
      <w:sz w:val="16"/>
    </w:rPr>
  </w:style>
  <w:style w:type="character" w:styleId="731" w:customStyle="1">
    <w:name w:val="Текст примечания Знак"/>
    <w:basedOn w:val="673"/>
    <w:uiPriority w:val="99"/>
    <w:semiHidden/>
    <w:qFormat/>
    <w:rPr>
      <w:rFonts w:ascii="Arial" w:hAnsi="Arial" w:cs="Times New Roman"/>
      <w:sz w:val="20"/>
    </w:rPr>
  </w:style>
  <w:style w:type="character" w:styleId="732" w:customStyle="1">
    <w:name w:val="Тема примечания Знак"/>
    <w:basedOn w:val="731"/>
    <w:uiPriority w:val="99"/>
    <w:semiHidden/>
    <w:qFormat/>
    <w:rPr>
      <w:rFonts w:ascii="Arial" w:hAnsi="Arial" w:cs="Times New Roman"/>
      <w:b/>
      <w:sz w:val="20"/>
    </w:rPr>
  </w:style>
  <w:style w:type="character" w:styleId="733" w:customStyle="1">
    <w:name w:val="Верхний колонтитул Знак"/>
    <w:basedOn w:val="673"/>
    <w:uiPriority w:val="99"/>
    <w:qFormat/>
    <w:rPr>
      <w:rFonts w:ascii="Arial" w:hAnsi="Arial" w:cs="Times New Roman"/>
      <w:sz w:val="24"/>
    </w:rPr>
  </w:style>
  <w:style w:type="character" w:styleId="734" w:customStyle="1">
    <w:name w:val="Нижний колонтитул Знак"/>
    <w:basedOn w:val="673"/>
    <w:uiPriority w:val="99"/>
    <w:qFormat/>
    <w:rPr>
      <w:rFonts w:ascii="Arial" w:hAnsi="Arial" w:cs="Times New Roman"/>
      <w:sz w:val="24"/>
    </w:rPr>
  </w:style>
  <w:style w:type="character" w:styleId="735">
    <w:name w:val="Hyperlink"/>
    <w:rPr>
      <w:color w:val="000080"/>
      <w:u w:val="single"/>
    </w:rPr>
  </w:style>
  <w:style w:type="character" w:styleId="736">
    <w:name w:val="Emphasis"/>
    <w:qFormat/>
    <w:rPr>
      <w:i/>
      <w:iCs/>
    </w:rPr>
  </w:style>
  <w:style w:type="character" w:styleId="737" w:customStyle="1">
    <w:name w:val="Ц4W4Wв4r4rе4u4uт4・?・E?о ?f? ?вrr??о ?f? ?еuu ??вrr??ы・1・4?4д?4?4е?4?4л?4?4е?4?4н?4?4и?4?4е ?4?4д?4?4л?4?4я4S?4SТu?4uе[?4[к?1E・4・сE"/>
    <w:qFormat/>
    <w:rPr>
      <w:rFonts w:ascii="PT Astra Serif" w:hAnsi="PT Astra Serif" w:eastAsia="PT Astra Serif" w:cs="PT Astra Serif"/>
      <w:sz w:val="24"/>
    </w:rPr>
  </w:style>
  <w:style w:type="character" w:styleId="738" w:customStyle="1">
    <w:name w:val="ﾖd6d64W�3f3fr�3f3fu�3f3f  ・1E1E  �3f3f3f3f?  穩2r2r?  �3f3f3f3f?  蛄5u5u ?穩2r2r?  �3f3f  ・1E1E4  �3f3f4�3f3f4�3f3f4�3f3f4�3f3f4�3f3f4�3f3f?4�3f3f4�3f3f4 �3fc?4S ﾒd2d24u�3f3f[�3f3f  ・1E1E  �3f3f  ・1E1E"/>
    <w:qFormat/>
    <w:rPr>
      <w:rFonts w:ascii="0" w:hAnsi="0" w:eastAsia="0" w:cs="0"/>
      <w:sz w:val="24"/>
    </w:rPr>
  </w:style>
  <w:style w:type="character" w:styleId="739" w:customStyle="1">
    <w:name w:val="Цветовое выделение для Текст"/>
    <w:qFormat/>
    <w:rPr>
      <w:rFonts w:ascii="Arial" w:hAnsi="Arial" w:eastAsia="Arial" w:cs="Arial"/>
      <w:sz w:val="26"/>
      <w:szCs w:val="26"/>
      <w:lang w:val="ru-RU" w:bidi="ru-RU"/>
    </w:rPr>
  </w:style>
  <w:style w:type="paragraph" w:styleId="740">
    <w:name w:val="Заголовок"/>
    <w:basedOn w:val="663"/>
    <w:next w:val="74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41">
    <w:name w:val="Body Text"/>
    <w:basedOn w:val="663"/>
    <w:pPr>
      <w:spacing w:before="0" w:after="140" w:line="276" w:lineRule="auto"/>
    </w:pPr>
  </w:style>
  <w:style w:type="paragraph" w:styleId="742">
    <w:name w:val="List"/>
    <w:basedOn w:val="741"/>
    <w:rPr>
      <w:rFonts w:ascii="PT Astra Serif" w:hAnsi="PT Astra Serif" w:cs="Noto Sans Devanagari"/>
    </w:rPr>
  </w:style>
  <w:style w:type="paragraph" w:styleId="743">
    <w:name w:val="Caption"/>
    <w:basedOn w:val="663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44">
    <w:name w:val="Указатель"/>
    <w:basedOn w:val="663"/>
    <w:qFormat/>
    <w:pPr>
      <w:suppressLineNumbers/>
    </w:pPr>
    <w:rPr>
      <w:rFonts w:ascii="PT Astra Serif" w:hAnsi="PT Astra Serif" w:cs="Noto Sans Devanagari"/>
    </w:rPr>
  </w:style>
  <w:style w:type="paragraph" w:styleId="745">
    <w:name w:val="Title"/>
    <w:basedOn w:val="663"/>
    <w:next w:val="74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46">
    <w:name w:val="Caption"/>
    <w:basedOn w:val="663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747">
    <w:name w:val="index heading"/>
    <w:basedOn w:val="663"/>
    <w:qFormat/>
    <w:pPr>
      <w:suppressLineNumbers/>
    </w:pPr>
    <w:rPr>
      <w:rFonts w:ascii="PT Astra Serif" w:hAnsi="PT Astra Serif" w:cs="Noto Sans Devanagari"/>
    </w:rPr>
  </w:style>
  <w:style w:type="paragraph" w:styleId="748">
    <w:name w:val="No Spacing"/>
    <w:uiPriority w:val="1"/>
    <w:qFormat/>
    <w:pPr>
      <w:widowControl/>
      <w:spacing w:before="0" w:after="0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  <w:style w:type="paragraph" w:styleId="749">
    <w:name w:val="Subtitle"/>
    <w:basedOn w:val="663"/>
    <w:uiPriority w:val="11"/>
    <w:qFormat/>
    <w:pPr>
      <w:spacing w:before="200" w:after="200"/>
    </w:pPr>
  </w:style>
  <w:style w:type="paragraph" w:styleId="750">
    <w:name w:val="Quote"/>
    <w:basedOn w:val="663"/>
    <w:uiPriority w:val="29"/>
    <w:qFormat/>
    <w:pPr>
      <w:ind w:left="720" w:right="720" w:firstLine="720"/>
    </w:pPr>
    <w:rPr>
      <w:i/>
    </w:rPr>
  </w:style>
  <w:style w:type="paragraph" w:styleId="751">
    <w:name w:val="Intense Quote"/>
    <w:basedOn w:val="6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 w:firstLine="720"/>
    </w:pPr>
    <w:rPr>
      <w:i/>
    </w:rPr>
  </w:style>
  <w:style w:type="paragraph" w:styleId="752">
    <w:name w:val="footnote text"/>
    <w:basedOn w:val="663"/>
    <w:uiPriority w:val="99"/>
    <w:semiHidden/>
    <w:unhideWhenUsed/>
    <w:pPr>
      <w:spacing w:before="0" w:after="40"/>
    </w:pPr>
    <w:rPr>
      <w:sz w:val="18"/>
    </w:rPr>
  </w:style>
  <w:style w:type="paragraph" w:styleId="753">
    <w:name w:val="endnote text"/>
    <w:basedOn w:val="663"/>
    <w:uiPriority w:val="99"/>
    <w:semiHidden/>
    <w:unhideWhenUsed/>
    <w:rPr>
      <w:sz w:val="20"/>
    </w:rPr>
  </w:style>
  <w:style w:type="paragraph" w:styleId="754">
    <w:name w:val="toc 1"/>
    <w:basedOn w:val="663"/>
    <w:uiPriority w:val="39"/>
    <w:unhideWhenUsed/>
    <w:pPr>
      <w:spacing w:before="0" w:after="57"/>
      <w:ind w:firstLine="0"/>
    </w:pPr>
  </w:style>
  <w:style w:type="paragraph" w:styleId="755">
    <w:name w:val="toc 2"/>
    <w:basedOn w:val="663"/>
    <w:uiPriority w:val="39"/>
    <w:unhideWhenUsed/>
    <w:pPr>
      <w:spacing w:before="0" w:after="57"/>
      <w:ind w:left="283" w:firstLine="0"/>
    </w:pPr>
  </w:style>
  <w:style w:type="paragraph" w:styleId="756">
    <w:name w:val="toc 3"/>
    <w:basedOn w:val="663"/>
    <w:uiPriority w:val="39"/>
    <w:unhideWhenUsed/>
    <w:pPr>
      <w:spacing w:before="0" w:after="57"/>
      <w:ind w:left="567" w:firstLine="0"/>
    </w:pPr>
  </w:style>
  <w:style w:type="paragraph" w:styleId="757">
    <w:name w:val="toc 4"/>
    <w:basedOn w:val="663"/>
    <w:uiPriority w:val="39"/>
    <w:unhideWhenUsed/>
    <w:pPr>
      <w:spacing w:before="0" w:after="57"/>
      <w:ind w:left="850" w:firstLine="0"/>
    </w:pPr>
  </w:style>
  <w:style w:type="paragraph" w:styleId="758">
    <w:name w:val="toc 5"/>
    <w:basedOn w:val="663"/>
    <w:uiPriority w:val="39"/>
    <w:unhideWhenUsed/>
    <w:pPr>
      <w:spacing w:before="0" w:after="57"/>
      <w:ind w:left="1134" w:firstLine="0"/>
    </w:pPr>
  </w:style>
  <w:style w:type="paragraph" w:styleId="759">
    <w:name w:val="toc 6"/>
    <w:basedOn w:val="663"/>
    <w:uiPriority w:val="39"/>
    <w:unhideWhenUsed/>
    <w:pPr>
      <w:spacing w:before="0" w:after="57"/>
      <w:ind w:left="1417" w:firstLine="0"/>
    </w:pPr>
  </w:style>
  <w:style w:type="paragraph" w:styleId="760">
    <w:name w:val="toc 7"/>
    <w:basedOn w:val="663"/>
    <w:uiPriority w:val="39"/>
    <w:unhideWhenUsed/>
    <w:pPr>
      <w:spacing w:before="0" w:after="57"/>
      <w:ind w:left="1701" w:firstLine="0"/>
    </w:pPr>
  </w:style>
  <w:style w:type="paragraph" w:styleId="761">
    <w:name w:val="toc 8"/>
    <w:basedOn w:val="663"/>
    <w:uiPriority w:val="39"/>
    <w:unhideWhenUsed/>
    <w:pPr>
      <w:spacing w:before="0" w:after="57"/>
      <w:ind w:left="1984" w:firstLine="0"/>
    </w:pPr>
  </w:style>
  <w:style w:type="paragraph" w:styleId="762">
    <w:name w:val="toc 9"/>
    <w:basedOn w:val="663"/>
    <w:uiPriority w:val="39"/>
    <w:unhideWhenUsed/>
    <w:pPr>
      <w:spacing w:before="0" w:after="57"/>
      <w:ind w:left="2268" w:firstLine="0"/>
    </w:pPr>
  </w:style>
  <w:style w:type="paragraph" w:styleId="763">
    <w:name w:val="Index Heading"/>
    <w:basedOn w:val="740"/>
  </w:style>
  <w:style w:type="paragraph" w:styleId="764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  <w:style w:type="paragraph" w:styleId="765">
    <w:name w:val="table of figures"/>
    <w:basedOn w:val="663"/>
    <w:uiPriority w:val="99"/>
    <w:unhideWhenUsed/>
    <w:qFormat/>
  </w:style>
  <w:style w:type="paragraph" w:styleId="766" w:customStyle="1">
    <w:name w:val="Внимание"/>
    <w:basedOn w:val="663"/>
    <w:uiPriority w:val="99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styleId="767" w:customStyle="1">
    <w:name w:val="Внимание: криминал!!"/>
    <w:basedOn w:val="766"/>
    <w:uiPriority w:val="99"/>
    <w:qFormat/>
  </w:style>
  <w:style w:type="paragraph" w:styleId="768" w:customStyle="1">
    <w:name w:val="Внимание: недобросовестность!"/>
    <w:basedOn w:val="766"/>
    <w:uiPriority w:val="99"/>
    <w:qFormat/>
  </w:style>
  <w:style w:type="paragraph" w:styleId="769" w:customStyle="1">
    <w:name w:val="Дочерний элемент списка"/>
    <w:basedOn w:val="663"/>
    <w:uiPriority w:val="99"/>
    <w:qFormat/>
    <w:pPr>
      <w:ind w:firstLine="0"/>
    </w:pPr>
    <w:rPr>
      <w:color w:val="868381"/>
      <w:sz w:val="20"/>
      <w:szCs w:val="20"/>
    </w:rPr>
  </w:style>
  <w:style w:type="paragraph" w:styleId="770" w:customStyle="1">
    <w:name w:val="Основное меню (преемственное)"/>
    <w:basedOn w:val="663"/>
    <w:uiPriority w:val="99"/>
    <w:qFormat/>
    <w:rPr>
      <w:rFonts w:ascii="Verdana" w:hAnsi="Verdana" w:cs="Verdana"/>
      <w:sz w:val="22"/>
      <w:szCs w:val="22"/>
    </w:rPr>
  </w:style>
  <w:style w:type="paragraph" w:styleId="771" w:customStyle="1">
    <w:name w:val="Заголовок группы контролов"/>
    <w:basedOn w:val="663"/>
    <w:uiPriority w:val="99"/>
    <w:qFormat/>
    <w:rPr>
      <w:b/>
      <w:bCs/>
      <w:color w:val="000000"/>
    </w:rPr>
  </w:style>
  <w:style w:type="paragraph" w:styleId="772" w:customStyle="1">
    <w:name w:val="Заголовок для информации об изменениях"/>
    <w:basedOn w:val="664"/>
    <w:uiPriority w:val="99"/>
    <w:qFormat/>
    <w:pPr>
      <w:spacing w:before="0" w:after="108"/>
      <w:outlineLvl w:val="9"/>
    </w:pPr>
    <w:rPr>
      <w:b w:val="0"/>
      <w:bCs w:val="0"/>
      <w:sz w:val="18"/>
      <w:szCs w:val="18"/>
      <w:shd w:val="clear" w:color="auto" w:fill="ffffff"/>
    </w:rPr>
  </w:style>
  <w:style w:type="paragraph" w:styleId="773" w:customStyle="1">
    <w:name w:val="Заголовок распахивающейся части диалога"/>
    <w:basedOn w:val="663"/>
    <w:uiPriority w:val="99"/>
    <w:qFormat/>
    <w:rPr>
      <w:i/>
      <w:iCs/>
      <w:color w:val="000080"/>
      <w:sz w:val="22"/>
      <w:szCs w:val="22"/>
    </w:rPr>
  </w:style>
  <w:style w:type="paragraph" w:styleId="774" w:customStyle="1">
    <w:name w:val="Заголовок статьи"/>
    <w:basedOn w:val="663"/>
    <w:uiPriority w:val="99"/>
    <w:qFormat/>
    <w:pPr>
      <w:ind w:left="1612" w:hanging="892"/>
    </w:pPr>
  </w:style>
  <w:style w:type="paragraph" w:styleId="775" w:customStyle="1">
    <w:name w:val="Заголовок ЭР (левое окно)"/>
    <w:basedOn w:val="663"/>
    <w:uiPriority w:val="99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styleId="776" w:customStyle="1">
    <w:name w:val="Заголовок ЭР (правое окно)"/>
    <w:basedOn w:val="775"/>
    <w:uiPriority w:val="99"/>
    <w:qFormat/>
    <w:pPr>
      <w:spacing w:before="300" w:after="0"/>
      <w:jc w:val="left"/>
    </w:pPr>
  </w:style>
  <w:style w:type="paragraph" w:styleId="777" w:customStyle="1">
    <w:name w:val="Интерактивный заголовок"/>
    <w:uiPriority w:val="99"/>
    <w:qFormat/>
    <w:pPr>
      <w:widowControl/>
      <w:spacing w:before="0" w:after="0"/>
      <w:jc w:val="left"/>
    </w:pPr>
    <w:rPr>
      <w:rFonts w:ascii="Calibri" w:hAnsi="Calibri" w:eastAsia="Times New Roman" w:cs="Calibri"/>
      <w:color w:val="auto"/>
      <w:sz w:val="20"/>
      <w:szCs w:val="20"/>
      <w:u w:val="single"/>
      <w:lang w:val="ru-RU" w:eastAsia="ru-RU" w:bidi="ar-SA"/>
    </w:rPr>
  </w:style>
  <w:style w:type="paragraph" w:styleId="778" w:customStyle="1">
    <w:name w:val="Текст информации об изменениях"/>
    <w:basedOn w:val="663"/>
    <w:uiPriority w:val="99"/>
    <w:qFormat/>
    <w:rPr>
      <w:color w:val="353842"/>
      <w:sz w:val="18"/>
      <w:szCs w:val="18"/>
    </w:rPr>
  </w:style>
  <w:style w:type="paragraph" w:styleId="779" w:customStyle="1">
    <w:name w:val="Информация об изменениях"/>
    <w:basedOn w:val="778"/>
    <w:uiPriority w:val="99"/>
    <w:qFormat/>
    <w:pPr>
      <w:spacing w:before="180" w:after="0"/>
      <w:ind w:left="360" w:right="360" w:firstLine="0"/>
    </w:pPr>
    <w:rPr>
      <w:shd w:val="clear" w:color="auto" w:fill="eaefed"/>
    </w:rPr>
  </w:style>
  <w:style w:type="paragraph" w:styleId="780" w:customStyle="1">
    <w:name w:val="Текст (справка)"/>
    <w:basedOn w:val="663"/>
    <w:uiPriority w:val="99"/>
    <w:qFormat/>
    <w:pPr>
      <w:ind w:left="170" w:right="170" w:firstLine="0"/>
      <w:jc w:val="left"/>
    </w:pPr>
  </w:style>
  <w:style w:type="paragraph" w:styleId="781" w:customStyle="1">
    <w:name w:val="Комментарий"/>
    <w:basedOn w:val="780"/>
    <w:uiPriority w:val="99"/>
    <w:qFormat/>
    <w:pPr>
      <w:spacing w:before="75" w:after="0"/>
      <w:ind w:left="170" w:right="0" w:firstLine="0"/>
      <w:jc w:val="both"/>
    </w:pPr>
    <w:rPr>
      <w:color w:val="353842"/>
      <w:shd w:val="clear" w:color="auto" w:fill="f0f0f0"/>
    </w:rPr>
  </w:style>
  <w:style w:type="paragraph" w:styleId="782" w:customStyle="1">
    <w:name w:val="Информация об изменениях документа"/>
    <w:basedOn w:val="781"/>
    <w:uiPriority w:val="99"/>
    <w:qFormat/>
    <w:rPr>
      <w:i/>
      <w:iCs/>
    </w:rPr>
  </w:style>
  <w:style w:type="paragraph" w:styleId="783" w:customStyle="1">
    <w:name w:val="Текст (лев. подпись)"/>
    <w:basedOn w:val="663"/>
    <w:uiPriority w:val="99"/>
    <w:qFormat/>
    <w:pPr>
      <w:ind w:firstLine="0"/>
      <w:jc w:val="left"/>
    </w:pPr>
  </w:style>
  <w:style w:type="paragraph" w:styleId="784" w:customStyle="1">
    <w:name w:val="Колонтитул (левый)"/>
    <w:basedOn w:val="783"/>
    <w:uiPriority w:val="99"/>
    <w:qFormat/>
    <w:rPr>
      <w:sz w:val="14"/>
      <w:szCs w:val="14"/>
    </w:rPr>
  </w:style>
  <w:style w:type="paragraph" w:styleId="785" w:customStyle="1">
    <w:name w:val="Текст (прав. подпись)"/>
    <w:basedOn w:val="663"/>
    <w:uiPriority w:val="99"/>
    <w:qFormat/>
    <w:pPr>
      <w:ind w:firstLine="0"/>
      <w:jc w:val="right"/>
    </w:pPr>
  </w:style>
  <w:style w:type="paragraph" w:styleId="786" w:customStyle="1">
    <w:name w:val="Колонтитул (правый)"/>
    <w:basedOn w:val="785"/>
    <w:uiPriority w:val="99"/>
    <w:qFormat/>
    <w:rPr>
      <w:sz w:val="14"/>
      <w:szCs w:val="14"/>
    </w:rPr>
  </w:style>
  <w:style w:type="paragraph" w:styleId="787" w:customStyle="1">
    <w:name w:val="Комментарий пользователя"/>
    <w:basedOn w:val="781"/>
    <w:uiPriority w:val="99"/>
    <w:qFormat/>
    <w:pPr>
      <w:jc w:val="left"/>
    </w:pPr>
    <w:rPr>
      <w:shd w:val="clear" w:color="auto" w:fill="ffdfe0"/>
    </w:rPr>
  </w:style>
  <w:style w:type="paragraph" w:styleId="788" w:customStyle="1">
    <w:name w:val="Куда обратиться?"/>
    <w:basedOn w:val="766"/>
    <w:uiPriority w:val="99"/>
    <w:qFormat/>
  </w:style>
  <w:style w:type="paragraph" w:styleId="789" w:customStyle="1">
    <w:name w:val="Моноширинный"/>
    <w:basedOn w:val="663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styleId="790" w:customStyle="1">
    <w:name w:val="Напишите нам"/>
    <w:basedOn w:val="663"/>
    <w:uiPriority w:val="99"/>
    <w:qFormat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styleId="791" w:customStyle="1">
    <w:name w:val="Необходимые документы"/>
    <w:basedOn w:val="766"/>
    <w:uiPriority w:val="99"/>
    <w:qFormat/>
    <w:pPr>
      <w:ind w:left="420" w:right="420" w:firstLine="118"/>
    </w:pPr>
  </w:style>
  <w:style w:type="paragraph" w:styleId="792" w:customStyle="1">
    <w:name w:val="Нормальный (таблица)"/>
    <w:basedOn w:val="663"/>
    <w:uiPriority w:val="99"/>
    <w:qFormat/>
    <w:pPr>
      <w:ind w:firstLine="0"/>
    </w:pPr>
  </w:style>
  <w:style w:type="paragraph" w:styleId="793" w:customStyle="1">
    <w:name w:val="Таблицы (моноширинный)"/>
    <w:basedOn w:val="663"/>
    <w:uiPriority w:val="99"/>
    <w:qFormat/>
    <w:pPr>
      <w:ind w:firstLine="0"/>
      <w:jc w:val="left"/>
    </w:pPr>
    <w:rPr>
      <w:rFonts w:ascii="Courier New" w:hAnsi="Courier New" w:cs="Courier New"/>
    </w:rPr>
  </w:style>
  <w:style w:type="paragraph" w:styleId="794" w:customStyle="1">
    <w:name w:val="Оглавление"/>
    <w:basedOn w:val="793"/>
    <w:uiPriority w:val="99"/>
    <w:qFormat/>
    <w:pPr>
      <w:ind w:left="140" w:firstLine="0"/>
    </w:pPr>
  </w:style>
  <w:style w:type="paragraph" w:styleId="795" w:customStyle="1">
    <w:name w:val="Переменная часть"/>
    <w:basedOn w:val="770"/>
    <w:uiPriority w:val="99"/>
    <w:qFormat/>
    <w:rPr>
      <w:sz w:val="18"/>
      <w:szCs w:val="18"/>
    </w:rPr>
  </w:style>
  <w:style w:type="paragraph" w:styleId="796" w:customStyle="1">
    <w:name w:val="Подвал для информации об изменениях"/>
    <w:basedOn w:val="664"/>
    <w:uiPriority w:val="99"/>
    <w:qFormat/>
    <w:pPr>
      <w:outlineLvl w:val="9"/>
    </w:pPr>
    <w:rPr>
      <w:b w:val="0"/>
      <w:bCs w:val="0"/>
      <w:sz w:val="18"/>
      <w:szCs w:val="18"/>
    </w:rPr>
  </w:style>
  <w:style w:type="paragraph" w:styleId="797" w:customStyle="1">
    <w:name w:val="Подзаголовок для информации об изменениях"/>
    <w:basedOn w:val="778"/>
    <w:uiPriority w:val="99"/>
    <w:qFormat/>
    <w:rPr>
      <w:b/>
      <w:bCs/>
    </w:rPr>
  </w:style>
  <w:style w:type="paragraph" w:styleId="798" w:customStyle="1">
    <w:name w:val="Подчёркнутый текст"/>
    <w:basedOn w:val="663"/>
    <w:uiPriority w:val="99"/>
    <w:qFormat/>
    <w:pPr>
      <w:pBdr>
        <w:bottom w:val="single" w:color="000000" w:sz="4" w:space="0"/>
      </w:pBdr>
    </w:pPr>
  </w:style>
  <w:style w:type="paragraph" w:styleId="799" w:customStyle="1">
    <w:name w:val="Постоянная часть"/>
    <w:basedOn w:val="770"/>
    <w:uiPriority w:val="99"/>
    <w:qFormat/>
    <w:rPr>
      <w:sz w:val="20"/>
      <w:szCs w:val="20"/>
    </w:rPr>
  </w:style>
  <w:style w:type="paragraph" w:styleId="800" w:customStyle="1">
    <w:name w:val="Прижатый влево"/>
    <w:basedOn w:val="663"/>
    <w:uiPriority w:val="99"/>
    <w:qFormat/>
    <w:pPr>
      <w:ind w:firstLine="0"/>
      <w:jc w:val="left"/>
    </w:pPr>
  </w:style>
  <w:style w:type="paragraph" w:styleId="801" w:customStyle="1">
    <w:name w:val="Пример."/>
    <w:basedOn w:val="766"/>
    <w:uiPriority w:val="99"/>
    <w:qFormat/>
  </w:style>
  <w:style w:type="paragraph" w:styleId="802" w:customStyle="1">
    <w:name w:val="Примечание."/>
    <w:basedOn w:val="766"/>
    <w:uiPriority w:val="99"/>
    <w:qFormat/>
  </w:style>
  <w:style w:type="paragraph" w:styleId="803" w:customStyle="1">
    <w:name w:val="Словарная статья"/>
    <w:basedOn w:val="663"/>
    <w:uiPriority w:val="99"/>
    <w:qFormat/>
    <w:pPr>
      <w:ind w:right="118" w:firstLine="0"/>
    </w:pPr>
  </w:style>
  <w:style w:type="paragraph" w:styleId="804" w:customStyle="1">
    <w:name w:val="Ссылка на официальную публикацию"/>
    <w:basedOn w:val="663"/>
    <w:uiPriority w:val="99"/>
    <w:qFormat/>
  </w:style>
  <w:style w:type="paragraph" w:styleId="805" w:customStyle="1">
    <w:name w:val="Текст в таблице"/>
    <w:basedOn w:val="792"/>
    <w:uiPriority w:val="99"/>
    <w:qFormat/>
    <w:pPr>
      <w:ind w:firstLine="500"/>
    </w:pPr>
  </w:style>
  <w:style w:type="paragraph" w:styleId="806" w:customStyle="1">
    <w:name w:val="Текст ЭР (см. также)"/>
    <w:basedOn w:val="663"/>
    <w:uiPriority w:val="99"/>
    <w:qFormat/>
    <w:pPr>
      <w:spacing w:before="200" w:after="0"/>
      <w:ind w:firstLine="0"/>
      <w:jc w:val="left"/>
    </w:pPr>
    <w:rPr>
      <w:sz w:val="20"/>
      <w:szCs w:val="20"/>
    </w:rPr>
  </w:style>
  <w:style w:type="paragraph" w:styleId="807" w:customStyle="1">
    <w:name w:val="Технический комментарий"/>
    <w:basedOn w:val="663"/>
    <w:uiPriority w:val="99"/>
    <w:qFormat/>
    <w:pPr>
      <w:ind w:firstLine="0"/>
      <w:jc w:val="left"/>
    </w:pPr>
    <w:rPr>
      <w:color w:val="463f31"/>
      <w:shd w:val="clear" w:color="auto" w:fill="ffffa6"/>
    </w:rPr>
  </w:style>
  <w:style w:type="paragraph" w:styleId="808" w:customStyle="1">
    <w:name w:val="Формула"/>
    <w:basedOn w:val="663"/>
    <w:uiPriority w:val="99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styleId="809" w:customStyle="1">
    <w:name w:val="Центрированный (таблица)"/>
    <w:basedOn w:val="792"/>
    <w:uiPriority w:val="99"/>
    <w:qFormat/>
    <w:pPr>
      <w:jc w:val="center"/>
    </w:pPr>
  </w:style>
  <w:style w:type="paragraph" w:styleId="810" w:customStyle="1">
    <w:name w:val="ЭР-содержание (правое окно)"/>
    <w:basedOn w:val="663"/>
    <w:uiPriority w:val="99"/>
    <w:qFormat/>
    <w:pPr>
      <w:spacing w:before="300" w:after="0"/>
      <w:ind w:firstLine="0"/>
      <w:jc w:val="left"/>
    </w:pPr>
  </w:style>
  <w:style w:type="paragraph" w:styleId="811">
    <w:name w:val="Balloon Text"/>
    <w:basedOn w:val="66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12">
    <w:name w:val="annotation text"/>
    <w:basedOn w:val="663"/>
    <w:uiPriority w:val="99"/>
    <w:semiHidden/>
    <w:unhideWhenUsed/>
    <w:qFormat/>
    <w:rPr>
      <w:sz w:val="20"/>
      <w:szCs w:val="20"/>
    </w:rPr>
  </w:style>
  <w:style w:type="paragraph" w:styleId="813">
    <w:name w:val="annotation subject"/>
    <w:basedOn w:val="812"/>
    <w:uiPriority w:val="99"/>
    <w:semiHidden/>
    <w:unhideWhenUsed/>
    <w:qFormat/>
    <w:rPr>
      <w:b/>
      <w:bCs/>
    </w:rPr>
  </w:style>
  <w:style w:type="paragraph" w:styleId="814" w:customStyle="1">
    <w:name w:val="Колонтитул"/>
    <w:basedOn w:val="663"/>
    <w:qFormat/>
  </w:style>
  <w:style w:type="paragraph" w:styleId="815">
    <w:name w:val="Header"/>
    <w:basedOn w:val="663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16">
    <w:name w:val="Footer"/>
    <w:basedOn w:val="663"/>
    <w:uiPriority w:val="99"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817" w:customStyle="1">
    <w:name w:val="ConsPlus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18" w:customStyle="1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19">
    <w:name w:val="List Paragraph"/>
    <w:basedOn w:val="663"/>
    <w:uiPriority w:val="34"/>
    <w:qFormat/>
    <w:pPr>
      <w:spacing w:before="0" w:after="0"/>
      <w:ind w:left="720" w:firstLine="720"/>
      <w:contextualSpacing/>
    </w:pPr>
  </w:style>
  <w:style w:type="numbering" w:styleId="820" w:default="1">
    <w:name w:val="No List"/>
    <w:uiPriority w:val="99"/>
    <w:semiHidden/>
    <w:unhideWhenUsed/>
    <w:qFormat/>
  </w:style>
  <w:style w:type="table" w:styleId="82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D034-C948-427C-B41B-DD2DE97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dc:language>ru-RU</dc:language>
  <cp:revision>52</cp:revision>
  <dcterms:created xsi:type="dcterms:W3CDTF">2024-10-08T08:10:00Z</dcterms:created>
  <dcterms:modified xsi:type="dcterms:W3CDTF">2024-11-19T12:47:26Z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