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6.wmf" ContentType="image/x-wmf"/>
  <Override PartName="/word/media/image5.wmf" ContentType="image/x-wmf"/>
  <Override PartName="/word/media/image2.wmf" ContentType="image/x-wmf"/>
  <Override PartName="/word/media/image7.png" ContentType="image/png"/>
  <Override PartName="/word/media/image1.wmf" ContentType="image/x-wmf"/>
  <Override PartName="/word/media/image8.png" ContentType="image/png"/>
  <Override PartName="/word/media/image3.wmf" ContentType="image/x-wmf"/>
  <Override PartName="/word/media/image4.wmf" ContentType="image/x-wmf"/>
  <Override PartName="/word/media/image9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Cs/>
          <w:sz w:val="12"/>
          <w:szCs w:val="12"/>
          <w:lang w:eastAsia="ru-RU"/>
        </w:rPr>
      </w:pPr>
      <w:r>
        <w:rPr>
          <w:rFonts w:eastAsia="Times New Roman" w:ascii="Times New Roman" w:hAnsi="Times New Roman"/>
          <w:bCs/>
          <w:sz w:val="12"/>
          <w:szCs w:val="1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ПОСТАНОВЛЕНИЕ</w:t>
      </w:r>
    </w:p>
    <w:p>
      <w:pPr>
        <w:pStyle w:val="Normal"/>
        <w:tabs>
          <w:tab w:val="clear" w:pos="708"/>
          <w:tab w:val="left" w:pos="9637" w:leader="none"/>
        </w:tabs>
        <w:spacing w:lineRule="auto" w:line="240" w:before="0" w:after="0"/>
        <w:ind w:right="-83" w:hanging="0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637" w:leader="none"/>
        </w:tabs>
        <w:spacing w:lineRule="auto" w:line="240" w:before="0" w:after="0"/>
        <w:ind w:right="-83" w:hanging="0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от_____________                                                                             №___________</w:t>
      </w:r>
    </w:p>
    <w:p>
      <w:pPr>
        <w:pStyle w:val="Normal"/>
        <w:spacing w:lineRule="auto" w:line="240" w:before="0" w:after="0"/>
        <w:ind w:right="567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left="0" w:right="4706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внесении изменен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ий </w:t>
      </w: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t>в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 приложение № 2 к Порядку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утвержденному постановлением Кабинета Министров Республики Татарстан от 22.04.2015 № 275 </w:t>
      </w:r>
      <w:r>
        <w:rPr>
          <w:rFonts w:ascii="Times New Roman" w:hAnsi="Times New Roman"/>
          <w:sz w:val="28"/>
          <w:szCs w:val="28"/>
        </w:rPr>
        <w:t>«Об утверждении Порядка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18"/>
          <w:szCs w:val="28"/>
          <w:lang w:eastAsia="ru-RU"/>
        </w:rPr>
      </w:pPr>
      <w:r>
        <w:rPr>
          <w:rFonts w:eastAsia="Times New Roman" w:ascii="Times New Roman" w:hAnsi="Times New Roman"/>
          <w:sz w:val="1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25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25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25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Внести в Приложение № 2 к Порядку заключения соглашений между Кабинетом Министров Республики Татарстан, Советом муниципальных образований 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утвержденному постановлением Кабинета Министров Республики Татарстан от 22.04.2015 № 275 «Об утверждении Порядка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Татарстан» (с изменениями, внесенными постановлениями Кабинета Министров Республики Татарстан от 06.07.2015 № 494, от 05.02.2016 № 73, от 07.11.2016 № 823, от 29.12.2017 № 1093, от 22.09.2018 № 828, от 12.04.2019 № 281, от 29.07.2019 № 629, от 25.08.2020 № 737, от 19.04.2021 № 257, от 08.12.2021 № 1197, от 08.06.2022 № 540, от 16.08.2022 № 843, от 17.03.2023 № 261, от 30.08.2023 № 1040, от 13.11.2023 № 1469, от 12.12.2023 № 1603, от 27.05.2024 № 370, от 24.06.2024 № 455), следующие </w:t>
      </w:r>
      <w:r>
        <w:rPr>
          <w:rFonts w:ascii="Times New Roman" w:hAnsi="Times New Roman"/>
          <w:sz w:val="28"/>
          <w:szCs w:val="28"/>
          <w:shd w:fill="auto" w:val="clear"/>
        </w:rPr>
        <w:t>изменения: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25"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25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пункты 17, 17.1, 19 признать утратившими силу;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25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дополнить пунктами 37 — 40 следующего содержания:</w:t>
      </w:r>
    </w:p>
    <w:tbl>
      <w:tblPr>
        <w:tblW w:w="10372" w:type="dxa"/>
        <w:jc w:val="left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1844"/>
        <w:gridCol w:w="2093"/>
        <w:gridCol w:w="1561"/>
        <w:gridCol w:w="3974"/>
      </w:tblGrid>
      <w:tr>
        <w:trPr>
          <w:trHeight w:val="237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tLeast" w:line="285" w:before="0" w:after="14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shd w:fill="auto" w:val="clear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«37.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fill="auto" w:val="clear"/>
                <w:lang w:val="ru-RU" w:eastAsia="en-US" w:bidi="ar-SA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Реальный рост дохода на одного работника субъекта малого и среднего предпринимательства (далее — МСП), процентов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fill="auto" w:val="clear"/>
                <w:lang w:val="ru-RU" w:eastAsia="en-US" w:bidi="ar-SA"/>
                <w14:ligatures w14:val="non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before="0" w:after="14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ежегодно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302510" cy="770890"/>
                  <wp:effectExtent l="0" t="0" r="0" b="0"/>
                  <wp:docPr id="1" name="Изображение2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510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где: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/>
              <w:drawing>
                <wp:inline distT="0" distB="0" distL="0" distR="0">
                  <wp:extent cx="274320" cy="269240"/>
                  <wp:effectExtent l="0" t="0" r="0" b="0"/>
                  <wp:docPr id="2" name="Изображение3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3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- доходы юридических лиц и индивидуальных предпринимателей за отчетный год в постоянных ценах, млрд. рублей;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ЧРt,ЮЛ - число работников юридических лиц за отчетный период, человек;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ЧРt,ИП - число работников индивидуальных предпринимателей за отчетный период, человек;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/>
              <w:drawing>
                <wp:inline distT="0" distB="0" distL="0" distR="0">
                  <wp:extent cx="351790" cy="260985"/>
                  <wp:effectExtent l="0" t="0" r="0" b="0"/>
                  <wp:docPr id="3" name="Изображение4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4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- доходы юридических лиц и индивидуальных предпринимателей за базовый год (2023 год) в текущих ценах, млрд. рублей;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ЧР2023,ЮЛ - число работников юридических лиц  за базовый период (2023 год), человек;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ЧР2023,ИП - число работников индивидуальных предпринимателей за базовый период (2023 год), человек;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t - отчетный год.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 xml:space="preserve">Компонента </w:t>
            </w:r>
            <w:r>
              <w:rPr/>
              <w:drawing>
                <wp:inline distT="0" distB="0" distL="0" distR="0">
                  <wp:extent cx="274320" cy="231775"/>
                  <wp:effectExtent l="0" t="0" r="0" b="0"/>
                  <wp:docPr id="4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 xml:space="preserve"> рассчитывается по формуле: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383030" cy="532130"/>
                  <wp:effectExtent l="0" t="0" r="0" b="0"/>
                  <wp:docPr id="5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где: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59080" cy="259715"/>
                  <wp:effectExtent l="0" t="0" r="0" b="0"/>
                  <wp:docPr id="6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доходы юридических лиц и индивидуальных предпринимателей за отчетный год в текущих ценах, млрд. рублей;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ИПЦ - индекс потребительских цен на товары и услуги за период с начала года к соответствующему периоду предыдущего года, процентов.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При расчете ЧР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  <w:vertAlign w:val="subscript"/>
              </w:rPr>
              <w:t>t,ЮЛ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 физическое лицо, с выплат и иных вознаграждений которому исчислены страховые взносы в соответствии с применяемым тарифом страховых взносов по месту нахождения обособленного подразделения юридического лица - субъекта МСП, наделенного полномочиями по начислению выплат и иных вознаграждений в пользу физических лиц, учитывается по месту нахождения такого обособленного подразделения.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При расчете ЧР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  <w:vertAlign w:val="subscript"/>
              </w:rPr>
              <w:t>t,ЮЛ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 и ЧР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  <w:vertAlign w:val="subscript"/>
              </w:rPr>
              <w:t>t,ИП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 физическое лицо, с выплат и иных вознаграждений которому исчислены страховые взносы в соответствии с применяемым тарифом страховых взносов разными работодателями - субъектами МСП, учитывается один раз. Физическое лицо, с выплат и иных вознаграждений которому исчислены страховые взносы в соответствии с применяемым тарифом страховых взносов разными работодателями - субъектами МСП, считается работником того работодателя - субъекта МСП, которым работнику начислена наибольшая сумма выплат и иных вознаграждений.</w:t>
            </w:r>
          </w:p>
          <w:p>
            <w:pPr>
              <w:pStyle w:val="ConsPlusNormal"/>
              <w:widowControl w:val="false"/>
              <w:spacing w:before="0" w:after="0"/>
              <w:ind w:left="0" w:right="0" w:firstLine="283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 w:val="false"/>
                <w:color w:val="000000"/>
                <w:sz w:val="28"/>
                <w:szCs w:val="28"/>
              </w:rPr>
              <w:t>Значение показателя за месяц принимается равным значению показателя за отчетный год.</w:t>
            </w:r>
          </w:p>
        </w:tc>
      </w:tr>
      <w:tr>
        <w:trPr>
          <w:trHeight w:val="99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tLeast" w:line="285" w:before="0" w:after="14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38.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9"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en-US" w:bidi="ar-SA"/>
              </w:rPr>
              <w:t>Доля субъектов МСП, превысивших предельные значения для определения категорий субъектов МСП (микро-, малые, средние), процентов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9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en-US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en-US" w:bidi="ar-SA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before="0" w:after="14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ежегодно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both"/>
              <w:rPr/>
            </w:pPr>
            <w:r>
              <w:rPr/>
              <w:drawing>
                <wp:inline distT="0" distB="0" distL="0" distR="0">
                  <wp:extent cx="2203450" cy="734060"/>
                  <wp:effectExtent l="0" t="0" r="0" b="0"/>
                  <wp:docPr id="7" name="Изображение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firstLine="17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где: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2" w:leader="none"/>
              </w:tabs>
              <w:spacing w:lineRule="auto" w:line="240" w:before="0" w:after="0"/>
              <w:ind w:left="0" w:right="-69" w:firstLine="283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K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vertAlign w:val="subscript"/>
              </w:rPr>
              <w:t xml:space="preserve">мик,t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количество субъектов МСП — микропредприятий, превысивших предельные значения для определения категории «микропредприятие», за отчетный год, единиц;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9" w:firstLine="283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K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vertAlign w:val="subscript"/>
              </w:rPr>
              <w:t xml:space="preserve">мал,t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количество субъектов МСП - малых пред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2"/>
                <w:lang w:val="ru-RU" w:eastAsia="en-US" w:bidi="ar-SA"/>
              </w:rPr>
              <w:t xml:space="preserve">приятий, превысивших предельные значения для определения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категории «малое предпринимательство», за отчетный год, единиц;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9" w:firstLine="283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K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vertAlign w:val="subscript"/>
              </w:rPr>
              <w:t xml:space="preserve">ср,t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количество субъектов МСП - средних предприятий, превысивших предельные значения для определения категории «среднее предпринимательство», за отчетный год, единиц;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9" w:firstLine="283"/>
              <w:jc w:val="both"/>
              <w:rPr/>
            </w:pPr>
            <w:r>
              <w:rPr/>
              <w:drawing>
                <wp:inline distT="0" distB="0" distL="0" distR="0">
                  <wp:extent cx="485775" cy="247650"/>
                  <wp:effectExtent l="0" t="0" r="0" b="0"/>
                  <wp:docPr id="8" name="Изображение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количество субъектов МСП на 10 января (t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vertAlign w:val="subscript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) отчетного года, единиц;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9" w:firstLine="283"/>
              <w:jc w:val="both"/>
              <w:rPr/>
            </w:pPr>
            <w:r>
              <w:rPr/>
              <w:drawing>
                <wp:inline distT="0" distB="0" distL="0" distR="0">
                  <wp:extent cx="485775" cy="257175"/>
                  <wp:effectExtent l="0" t="0" r="0" b="0"/>
                  <wp:docPr id="9" name="Изображение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количество субъектов МСП на 10 января (t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vertAlign w:val="subscript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) года, следующего за отчетным годом, единиц;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t - отчетный год;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t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vertAlign w:val="subscript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начало отчетного года;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t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vertAlign w:val="subscript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- конец отчетного года.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Значение показателя за месяц принимается равным значению показателя за отчетный год.</w:t>
            </w:r>
          </w:p>
        </w:tc>
      </w:tr>
      <w:tr>
        <w:trPr>
          <w:trHeight w:val="2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tLeast" w:line="285" w:before="0" w:after="14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shd w:fill="auto" w:val="clear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39.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val="ru-RU" w:eastAsia="en-US" w:bidi="ar-SA"/>
              </w:rPr>
              <w:t>Совокупный коэффициент рождаемости суб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en-US" w:bidi="ar-SA"/>
              </w:rPr>
              <w:t>ъектов МСП, процентов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tLeast" w:line="285" w:before="0" w:after="14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Министерство экономики Республики Татарстан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before="0" w:after="14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eastAsia="en-US" w:bidi="ar-SA"/>
              </w:rPr>
              <w:t>ежегодно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704"/>
              <w:tblW w:w="32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23"/>
              <w:gridCol w:w="232"/>
              <w:gridCol w:w="794"/>
              <w:gridCol w:w="286"/>
              <w:gridCol w:w="1590"/>
            </w:tblGrid>
            <w:tr>
              <w:trPr>
                <w:trHeight w:val="270" w:hRule="atLeast"/>
              </w:trPr>
              <w:tc>
                <w:tcPr>
                  <w:tcW w:w="3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kern w:val="0"/>
                      <w:sz w:val="12"/>
                      <w:szCs w:val="12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8"/>
                    </w:rPr>
                    <w:t>К</w:t>
                  </w:r>
                </w:p>
              </w:tc>
              <w:tc>
                <w:tcPr>
                  <w:tcW w:w="2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kern w:val="0"/>
                      <w:sz w:val="14"/>
                      <w:szCs w:val="1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57" w:right="0" w:hanging="0"/>
                    <w:jc w:val="left"/>
                    <w:rPr>
                      <w:kern w:val="0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8"/>
                    </w:rPr>
                    <w:t>=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0" w:right="0" w:hanging="0"/>
                    <w:jc w:val="center"/>
                    <w:rPr>
                      <w:u w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8"/>
                      <w:szCs w:val="28"/>
                      <w:u w:val="none"/>
                    </w:rPr>
                    <w:t>Квс</w:t>
                  </w:r>
                </w:p>
              </w:tc>
              <w:tc>
                <w:tcPr>
                  <w:tcW w:w="2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-170" w:right="0" w:hanging="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16"/>
                      <w:szCs w:val="16"/>
                    </w:rPr>
                    <w:t xml:space="preserve"> ⨉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-57" w:right="227" w:hanging="0"/>
                    <w:jc w:val="both"/>
                    <w:rPr>
                      <w:kern w:val="0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</w:rPr>
                    <w:t>100%,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32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tLeast" w:line="280" w:before="0" w:after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highlight w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8"/>
                    </w:rPr>
                  </w:r>
                </w:p>
              </w:tc>
              <w:tc>
                <w:tcPr>
                  <w:tcW w:w="232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tLeast" w:line="280" w:before="0" w:after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highlight w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8"/>
                    </w:rPr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tLeast" w:line="280" w:before="0" w:after="0"/>
                    <w:jc w:val="center"/>
                    <w:rPr>
                      <w:kern w:val="0"/>
                    </w:rPr>
                  </w:pPr>
                  <w:r>
                    <mc:AlternateContent>
                      <mc:Choice Requires="wps">
                        <w:drawing>
                          <wp:anchor behindDoc="0" distT="635" distB="635" distL="635" distR="635" simplePos="0" locked="0" layoutInCell="1" allowOverlap="1" relativeHeight="11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381000" cy="635"/>
                            <wp:effectExtent l="635" t="635" r="635" b="635"/>
                            <wp:wrapNone/>
                            <wp:docPr id="10" name="Горизонтальная линия 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0880" cy="720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hape_0" from="2.55pt,0.35pt" to="32.5pt,0.35pt" ID="Горизонтальная линия 1" stroked="t" o:allowincell="f" style="position:absolute">
                            <v:stroke color="black" joinstyle="round" endcap="flat"/>
                            <v:fill o:detectmouseclick="t" on="false"/>
                            <w10:wrap type="none"/>
                          </v:line>
                        </w:pict>
                      </mc:Fallback>
                    </mc:AlternateConten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</w:rPr>
                    <w:t>Кд</w:t>
                  </w:r>
                </w:p>
              </w:tc>
              <w:tc>
                <w:tcPr>
                  <w:tcW w:w="286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tLeast" w:line="280" w:before="0" w:after="0"/>
                    <w:jc w:val="center"/>
                    <w:rPr>
                      <w:kern w:val="0"/>
                    </w:rPr>
                  </w:pPr>
                  <w:r>
                    <w:rPr>
                      <w:kern w:val="0"/>
                    </w:rPr>
                  </w:r>
                </w:p>
              </w:tc>
              <w:tc>
                <w:tcPr>
                  <w:tcW w:w="1590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tLeast" w:line="280" w:before="0" w:after="0"/>
                    <w:jc w:val="both"/>
                    <w:rPr>
                      <w:kern w:val="0"/>
                    </w:rPr>
                  </w:pPr>
                  <w:r>
                    <w:rPr>
                      <w:kern w:val="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tLeast" w:line="280" w:before="0" w:after="0"/>
              <w:ind w:left="0" w:right="0" w:firstLine="28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где: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 - коэффициент рождаемости субъектов МСП, процентов;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Квс - количество вновь созданных субъектов МСП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en-US" w:bidi="ar-SA"/>
              </w:rPr>
              <w:t xml:space="preserve"> за отчетный период, человек;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Кд - среднегодовая численность всех субъектов МСП (среднеарифметическое значение числа субъектов МСП на начало года и на конец), единиц</w:t>
            </w:r>
          </w:p>
        </w:tc>
      </w:tr>
      <w:tr>
        <w:trPr>
          <w:trHeight w:val="127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tLeast" w:line="285" w:before="0" w:after="140"/>
              <w:ind w:left="0" w:right="0" w:hanging="0"/>
              <w:jc w:val="center"/>
              <w:rPr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40.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tLeast" w:line="285" w:before="0" w:after="140"/>
              <w:ind w:left="0" w:right="0"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highlight w:val="white"/>
                <w:shd w:fill="auto" w:val="clear"/>
              </w:rPr>
              <w:t>У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highlight w:val="white"/>
                <w:shd w:fill="auto" w:val="clear"/>
                <w:lang w:val="ru-RU" w:eastAsia="en-US" w:bidi="ar-SA"/>
              </w:rPr>
              <w:t>ровень удовлетворенности потенциальных и действу</w:t>
            </w:r>
            <w:r>
              <w:rPr>
                <w:rFonts w:eastAsia="Calibri" w:cs="Times New Roman" w:ascii="Times New Roman" w:hAnsi="Times New Roman"/>
                <w:b w:val="false"/>
                <w:color w:val="000000"/>
                <w:sz w:val="28"/>
                <w:szCs w:val="28"/>
                <w:highlight w:val="white"/>
                <w:shd w:fill="auto" w:val="clear"/>
                <w:lang w:val="ru-RU" w:eastAsia="en-US" w:bidi="ar-SA"/>
              </w:rPr>
              <w:t>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МСП, процентов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b w:val="false"/>
                <w:color w:val="000000"/>
                <w:sz w:val="28"/>
                <w:szCs w:val="28"/>
                <w:highlight w:val="white"/>
                <w:shd w:fill="auto" w:val="clear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инистерство экономики Республики Татарстан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before="0" w:after="14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whit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  <w:shd w:fill="auto" w:val="clear"/>
                <w:lang w:val="ru-RU" w:eastAsia="en-US" w:bidi="ar-SA"/>
              </w:rPr>
              <w:t>ежеквартально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Определяется по результатам опроса среди получателей мер государственной поддержки МСП».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right="0" w:firstLine="737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Установить, что настоящее постановление вступает в силу с 1 января 2025 года.</w:t>
      </w:r>
    </w:p>
    <w:p>
      <w:pPr>
        <w:pStyle w:val="ListParagraph"/>
        <w:widowControl/>
        <w:spacing w:lineRule="auto" w:line="240" w:before="0" w:after="0"/>
        <w:ind w:left="0" w:right="0" w:firstLine="737"/>
        <w:contextualSpacing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Премьер-министр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2">
                <wp:simplePos x="0" y="0"/>
                <wp:positionH relativeFrom="column">
                  <wp:posOffset>2656840</wp:posOffset>
                </wp:positionH>
                <wp:positionV relativeFrom="paragraph">
                  <wp:posOffset>1823085</wp:posOffset>
                </wp:positionV>
                <wp:extent cx="38100" cy="19050"/>
                <wp:effectExtent l="635" t="635" r="635" b="635"/>
                <wp:wrapNone/>
                <wp:docPr id="1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60" cy="19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9.2pt,143.55pt" to="212.15pt,145pt" ID="Линия 1" stroked="t" o:allowincell="f" style="position:absolute;flip:y">
                <v:stroke color="#3465a4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3">
                <wp:simplePos x="0" y="0"/>
                <wp:positionH relativeFrom="column">
                  <wp:posOffset>2653665</wp:posOffset>
                </wp:positionH>
                <wp:positionV relativeFrom="paragraph">
                  <wp:posOffset>2508250</wp:posOffset>
                </wp:positionV>
                <wp:extent cx="634365" cy="0"/>
                <wp:effectExtent l="635" t="635" r="635" b="635"/>
                <wp:wrapNone/>
                <wp:docPr id="12" name="Горизонта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95pt,197.5pt" to="258.85pt,197.5pt" ID="Горизонтальная линия 3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ascii="Times New Roman" w:hAnsi="Times New Roman"/>
          <w:sz w:val="28"/>
          <w:szCs w:val="28"/>
          <w:lang w:eastAsia="ru-RU"/>
        </w:rPr>
        <w:t>Республики Татарстан                                                                                   А.В. Песошин</w:t>
      </w:r>
    </w:p>
    <w:sectPr>
      <w:headerReference w:type="default" r:id="rId11"/>
      <w:type w:val="nextPage"/>
      <w:pgSz w:w="11906" w:h="16838"/>
      <w:pgMar w:left="1134" w:right="567" w:gutter="0" w:header="709" w:top="1134" w:footer="0" w:bottom="8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6</w:t>
    </w:r>
    <w:r>
      <w:rPr>
        <w:sz w:val="24"/>
        <w:szCs w:val="24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Style10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12">
    <w:name w:val="Emphasis"/>
    <w:basedOn w:val="DefaultParagraphFont"/>
    <w:uiPriority w:val="20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7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317BBA" w:themeColor="accent1" w:themeTint="80" w:themeShade="95"/>
        <w:sz w:val="22"/>
      </w:rPr>
      <w:tblPr/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606060" w:themeColor="accent3" w:themeTint="fe" w:themeShade="95"/>
        <w:sz w:val="22"/>
      </w:rPr>
      <w:tblPr/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254374" w:themeColor="accent5" w:themeShade="95"/>
        <w:sz w:val="22"/>
      </w:rPr>
      <w:tblPr/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254374" w:themeColor="accent5" w:themeShade="95"/>
        <w:sz w:val="22"/>
      </w:rPr>
      <w:tblPr/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8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0D68-CC15-49D7-B5D7-842E28CB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6</Pages>
  <Words>807</Words>
  <Characters>5706</Characters>
  <CharactersWithSpaces>6622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2023-11-30T13:21:00Z</dcterms:created>
  <dc:creator>Зиганшина Ландыш Азатовна</dc:creator>
  <dc:description/>
  <dc:language>ru-RU</dc:language>
  <cp:lastModifiedBy/>
  <dcterms:modified xsi:type="dcterms:W3CDTF">2024-12-09T10:00:36Z</dcterms:modified>
  <cp:revision>66</cp:revision>
  <dc:subject/>
  <dc:title/>
</cp:coreProperties>
</file>