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 w:before="0" w:after="0"/>
        <w:ind w:right="453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принятия решения о признании безнадежной к взысканию задолженности по платежам в бюджет муниципального образования город Набережные Челны, утвержденный постановлением Исполнительного комитета от 25.09.2019 № 4863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hd w:val="clear" w:color="auto" w:fill="FFFFFF"/>
        <w:spacing w:beforeAutospacing="0" w:before="0" w:afterAutospacing="0" w:after="0"/>
        <w:ind w:firstLine="708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В соответствии с пунктами 5.24, 5.25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принятия решения о признании безнадежной к взысканию задолженности по платежам в бюджет муниципального образования  город Набережные Челны, утвержденный постановлением Исполнительного комитета от 25.09.2019 № 4863 (в редакции постановлений Исполнительного комитета  от 03.08.2020 № 3706; от 18.05.2023 № 4068; от 25.10.2024 № 7079), 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подпункт 4 пункта 3 изложить в следующей редакции: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«4) применения акта об амнистии или акта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пункте 5: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в подпункте 3 слова «выписка из отчетности» заменить словом «справка»;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подпункте 4  после слов «по платежам в бюджет города» дополнить словами «,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Федерации;»;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-абзац седьмой подпункта 5 изложить в следующей редакции: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«-акт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взыскания;»;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подпункт 5 дополнить абзацем одиннадцатым следующего содержания: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«- документ, содержащий сведения из Единого федерального реестра сведений о банкротстве о завершении процедуры внесудебного банкротства гражданина.»;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подпункты 7, 8 признать утратившими силу.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40" w:before="20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20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ab/>
        <w:t>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84037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84037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e33f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51759&amp;dst=100012" TargetMode="External"/><Relationship Id="rId3" Type="http://schemas.openxmlformats.org/officeDocument/2006/relationships/hyperlink" Target="https://login.consultant.ru/link/?req=doc&amp;base=RLAW363&amp;n=151759&amp;dst=100012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LibreOffice/7.5.6.2$Linux_X86_64 LibreOffice_project/50$Build-2</Application>
  <AppVersion>15.0000</AppVersion>
  <Pages>2</Pages>
  <Words>348</Words>
  <Characters>2349</Characters>
  <CharactersWithSpaces>2698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2024-12-11T07:38:00Z</dcterms:created>
  <dc:creator>Ляйсан Р. Галиева</dc:creator>
  <dc:description/>
  <dc:language>ru-RU</dc:language>
  <cp:lastModifiedBy>Ляйсан Р. Галиева</cp:lastModifiedBy>
  <dcterms:modified xsi:type="dcterms:W3CDTF">2024-12-24T06:10:00Z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