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0" w:firstLine="6096"/>
        <w:rPr>
          <w:szCs w:val="28"/>
        </w:rPr>
      </w:pPr>
      <w:r>
        <w:rPr>
          <w:szCs w:val="28"/>
        </w:rPr>
        <w:t>Утверждаю:</w:t>
      </w:r>
    </w:p>
    <w:p>
      <w:pPr>
        <w:pStyle w:val="Normal"/>
        <w:spacing w:lineRule="auto" w:line="240" w:before="0" w:after="0"/>
        <w:ind w:right="0" w:firstLine="6096"/>
        <w:rPr>
          <w:szCs w:val="28"/>
        </w:rPr>
      </w:pPr>
      <w:r>
        <w:rPr>
          <w:szCs w:val="28"/>
        </w:rPr>
        <w:t xml:space="preserve">Заместитель министра экономики </w:t>
      </w:r>
    </w:p>
    <w:p>
      <w:pPr>
        <w:pStyle w:val="Normal"/>
        <w:spacing w:lineRule="auto" w:line="240" w:before="0" w:after="0"/>
        <w:ind w:right="0" w:firstLine="6096"/>
        <w:rPr>
          <w:szCs w:val="28"/>
        </w:rPr>
      </w:pPr>
      <w:r>
        <w:rPr>
          <w:szCs w:val="28"/>
        </w:rPr>
        <w:t xml:space="preserve">Республики Татарстан </w:t>
      </w:r>
    </w:p>
    <w:p>
      <w:pPr>
        <w:pStyle w:val="Normal"/>
        <w:spacing w:lineRule="auto" w:line="240" w:before="0" w:after="0"/>
        <w:ind w:right="0" w:firstLine="6096"/>
        <w:rPr>
          <w:szCs w:val="28"/>
        </w:rPr>
      </w:pPr>
      <w:r>
        <w:rPr>
          <w:szCs w:val="28"/>
        </w:rPr>
        <w:t>____________ Г.И.Исмагилова</w:t>
      </w:r>
    </w:p>
    <w:p>
      <w:pPr>
        <w:pStyle w:val="Normal"/>
        <w:spacing w:lineRule="auto" w:line="276" w:before="0" w:after="0"/>
        <w:ind w:right="0" w:firstLine="637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 w:before="0" w:after="0"/>
        <w:ind w:right="0" w:firstLine="585"/>
        <w:jc w:val="center"/>
        <w:rPr>
          <w:sz w:val="30"/>
        </w:rPr>
      </w:pPr>
      <w:r>
        <w:rPr>
          <w:sz w:val="30"/>
        </w:rPr>
        <w:t>Доклад о правоприменительной практике</w:t>
      </w:r>
    </w:p>
    <w:p>
      <w:pPr>
        <w:pStyle w:val="Normal"/>
        <w:spacing w:lineRule="auto" w:line="276" w:before="0" w:after="0"/>
        <w:ind w:right="0" w:firstLine="585"/>
        <w:jc w:val="center"/>
        <w:rPr/>
      </w:pPr>
      <w:r>
        <w:rPr>
          <w:sz w:val="30"/>
        </w:rPr>
        <w:t>контрольной (надзорной) деятельности Министерства экономики</w:t>
      </w:r>
    </w:p>
    <w:p>
      <w:pPr>
        <w:pStyle w:val="Normal"/>
        <w:spacing w:lineRule="auto" w:line="276" w:before="0" w:after="0"/>
        <w:ind w:right="0" w:hanging="0"/>
        <w:jc w:val="center"/>
        <w:rPr>
          <w:sz w:val="30"/>
        </w:rPr>
      </w:pPr>
      <w:r>
        <w:rPr>
          <w:sz w:val="30"/>
        </w:rPr>
        <w:t xml:space="preserve">Республики Татарстан в сфере заготовки, хранения, переработки </w:t>
      </w:r>
    </w:p>
    <w:p>
      <w:pPr>
        <w:pStyle w:val="Normal"/>
        <w:spacing w:lineRule="auto" w:line="276" w:before="0" w:after="0"/>
        <w:ind w:right="0" w:hanging="0"/>
        <w:jc w:val="center"/>
        <w:rPr>
          <w:sz w:val="30"/>
        </w:rPr>
      </w:pPr>
      <w:r>
        <w:rPr>
          <w:sz w:val="30"/>
        </w:rPr>
        <w:t>и реализации лома черных, цветных металлов за 2024 год</w:t>
      </w:r>
    </w:p>
    <w:p>
      <w:pPr>
        <w:pStyle w:val="Normal"/>
        <w:spacing w:lineRule="auto" w:line="276" w:before="0" w:after="0"/>
        <w:ind w:right="0" w:hanging="0"/>
        <w:jc w:val="center"/>
        <w:rPr>
          <w:b/>
          <w:sz w:val="30"/>
        </w:rPr>
      </w:pPr>
      <w:r>
        <w:rPr>
          <w:b/>
          <w:sz w:val="30"/>
        </w:rPr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 xml:space="preserve">Обобщение и анализ правоприменительной практики контрольной (надзорной) деятельности Министерства экономики Республики Татарстан (далее </w:t>
      </w:r>
      <w:r>
        <w:rPr/>
        <w:drawing>
          <wp:inline distT="0" distB="0" distL="0" distR="0">
            <wp:extent cx="97790" cy="18415"/>
            <wp:effectExtent l="0" t="0" r="0" b="0"/>
            <wp:docPr id="1" name="Picture 14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4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министерство) за 2024 год подготовлен во исполнение статьи 47 Федерального закона от 31 июля 2020 года № 248-ФЗ «О государственном контроле (надзоре) и муниципальном контроле в Российской Федерации» (далее — Закон № 248-ФЗ), пункта 37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 мая 2022 г. № 980 (далее – Постановление № 980, Положение о лицензировании), на основании Методических рекомендаций по обобщению и анализу правоприменительной практики контрольно-надзорной деятельности, одобренных на заседании подкомиссии по совершенствованию контрольных (надзорных) и разрешительных функций федеральных органов исполнительной власти Правительственной комиссии по проведению административной реформы от 09.09.2016 № 7.</w:t>
      </w:r>
    </w:p>
    <w:p>
      <w:pPr>
        <w:pStyle w:val="Normal"/>
        <w:spacing w:lineRule="auto" w:line="276" w:before="0" w:after="0"/>
        <w:ind w:right="0" w:hanging="0"/>
        <w:rPr>
          <w:b/>
          <w:sz w:val="30"/>
        </w:rPr>
      </w:pPr>
      <w:r>
        <w:rPr>
          <w:b/>
          <w:sz w:val="30"/>
        </w:rPr>
      </w:r>
    </w:p>
    <w:p>
      <w:pPr>
        <w:pStyle w:val="ListParagraph"/>
        <w:spacing w:lineRule="auto" w:line="276" w:before="0" w:after="0"/>
        <w:ind w:left="0" w:right="0" w:hanging="0"/>
        <w:contextualSpacing/>
        <w:jc w:val="center"/>
        <w:rPr>
          <w:sz w:val="30"/>
        </w:rPr>
      </w:pPr>
      <w:r>
        <w:rPr>
          <w:sz w:val="30"/>
        </w:rPr>
        <w:t>1.Организация и проведение мероприятий</w:t>
      </w:r>
    </w:p>
    <w:p>
      <w:pPr>
        <w:pStyle w:val="ListParagraph"/>
        <w:spacing w:lineRule="auto" w:line="276" w:before="0" w:after="0"/>
        <w:ind w:left="1080" w:right="0" w:hanging="0"/>
        <w:contextualSpacing/>
        <w:rPr>
          <w:sz w:val="30"/>
        </w:rPr>
      </w:pPr>
      <w:r>
        <w:rPr>
          <w:sz w:val="30"/>
        </w:rPr>
        <w:t>по контролю (надзору) в подконтрольной сфере деятельности</w:t>
      </w:r>
    </w:p>
    <w:p>
      <w:pPr>
        <w:pStyle w:val="ListParagraph"/>
        <w:spacing w:lineRule="auto" w:line="276" w:before="0" w:after="0"/>
        <w:ind w:left="1080" w:right="0" w:hanging="0"/>
        <w:contextualSpacing/>
        <w:rPr/>
      </w:pPr>
      <w:r>
        <w:rPr/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В рамках контрольной (надзорной) деятельности и в соответствии с закрепленными постановлением Кабинета Министров Республики Татарстан от 23.07.2007 № 325 «Вопросы Министерства экономики Республики Татарстан» полномочиями министерство осуществляет государственный контроль (надзор) в отношении юридических лиц и индивидуальных предпринимателей, осуществляющих деятельность по заготовке, хранению, переработке и реализации лома черных, цветных металлов на основании лицензии, предоставленной министерством (далее – лицензиаты).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Постановлением № 980 определено, что лицензионный контроль осуществляется посредством проведения профилактических мероприятий, плановых и внеплановых контрольных (надзорных) мероприятий в соответствии с Законом № 248-ФЗ.</w:t>
      </w:r>
    </w:p>
    <w:p>
      <w:pPr>
        <w:pStyle w:val="ConsPlusNormal"/>
        <w:widowControl w:val="false"/>
        <w:bidi w:val="0"/>
        <w:spacing w:lineRule="auto" w:line="276" w:before="0" w:after="0"/>
        <w:ind w:left="0" w:right="0" w:firstLine="51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К контрольным (надзорным) мероприятиям в сфере заготовки, хранения, переработки и реализации лома черных металлов, цветных металлов Постановлением № 980 отнесены выездная проверка, инспекционный визит. </w:t>
      </w:r>
    </w:p>
    <w:p>
      <w:pPr>
        <w:pStyle w:val="ConsPlusNormal"/>
        <w:widowControl w:val="false"/>
        <w:bidi w:val="0"/>
        <w:spacing w:lineRule="auto" w:line="276" w:before="0" w:after="0"/>
        <w:ind w:left="0" w:right="0" w:firstLine="51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Пунктом 35 Постановления № 980 определено, что при осуществлении лицензионного контроля проводятся следующие виды профилактических мероприятий:</w:t>
      </w:r>
    </w:p>
    <w:p>
      <w:pPr>
        <w:pStyle w:val="ConsPlusNormal"/>
        <w:spacing w:lineRule="auto" w:line="276"/>
        <w:ind w:right="950" w:firstLine="539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информирование;</w:t>
      </w:r>
    </w:p>
    <w:p>
      <w:pPr>
        <w:pStyle w:val="ConsPlusNormal"/>
        <w:spacing w:lineRule="auto" w:line="276"/>
        <w:ind w:right="950" w:firstLine="539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обобщение правоприменительной практики;</w:t>
      </w:r>
    </w:p>
    <w:p>
      <w:pPr>
        <w:pStyle w:val="ConsPlusNormal"/>
        <w:spacing w:lineRule="auto" w:line="276"/>
        <w:ind w:right="950" w:firstLine="539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объявление предостережения;</w:t>
      </w:r>
    </w:p>
    <w:p>
      <w:pPr>
        <w:pStyle w:val="ConsPlusNormal"/>
        <w:spacing w:lineRule="auto" w:line="276"/>
        <w:ind w:right="950" w:firstLine="539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консультирование;</w:t>
      </w:r>
    </w:p>
    <w:p>
      <w:pPr>
        <w:pStyle w:val="ConsPlusNormal"/>
        <w:spacing w:lineRule="auto" w:line="276"/>
        <w:ind w:right="950" w:firstLine="539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профилактический визит.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</w:r>
    </w:p>
    <w:p>
      <w:pPr>
        <w:pStyle w:val="Normal"/>
        <w:spacing w:lineRule="auto" w:line="276" w:before="0" w:after="0"/>
        <w:ind w:right="0" w:hanging="0"/>
        <w:jc w:val="left"/>
        <w:rPr>
          <w:u w:val="single"/>
        </w:rPr>
      </w:pPr>
      <w:r>
        <w:rPr>
          <w:u w:val="single"/>
        </w:rPr>
        <w:t xml:space="preserve">Плановые, внеплановые проверки 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>
          <w:bCs/>
        </w:rPr>
        <w:t>Постановлением Правительства Российской Федерации от 10 марта 2022 г.      № 336 «Об особенностях организации и осуществления государственного контроля (надзора), муниципального контроля» установлено,</w:t>
      </w:r>
      <w:r>
        <w:rPr/>
        <w:t xml:space="preserve"> что до 2030 года в планы проведения плановых контрольных (надзорных) мероприятий, порядок организации и осуществления которых регулируется Законом № 248-ФЗ,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риска.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Среди лицензиатов отсутствуют предприятия, отнесенные к категориям чрезвычайно высокого и высокого риска. В этой связи план проведения плановых проверок на 2024 год не утверждался, плановые проверки не проводились.</w:t>
      </w:r>
    </w:p>
    <w:p>
      <w:pPr>
        <w:pStyle w:val="Normal"/>
        <w:spacing w:lineRule="auto" w:line="276" w:before="0" w:after="0"/>
        <w:ind w:right="0" w:hanging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76" w:before="0" w:after="0"/>
        <w:ind w:right="0" w:hanging="0"/>
        <w:jc w:val="left"/>
        <w:rPr>
          <w:u w:val="single"/>
        </w:rPr>
      </w:pPr>
      <w:r>
        <w:rPr>
          <w:u w:val="single"/>
        </w:rPr>
        <w:t>Категорирование объектов контроля по рискам</w:t>
      </w:r>
    </w:p>
    <w:p>
      <w:pPr>
        <w:pStyle w:val="Normal"/>
        <w:spacing w:lineRule="auto" w:line="276" w:before="0" w:after="0"/>
        <w:ind w:right="0" w:firstLine="709"/>
        <w:rPr/>
      </w:pPr>
      <w:r>
        <w:rPr/>
        <w:t>Статьей 22 Закона № 248-ФЗ определено, что государственный контроль (надзор)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>
      <w:pPr>
        <w:pStyle w:val="Normal"/>
        <w:spacing w:lineRule="auto" w:line="276" w:before="0" w:after="0"/>
        <w:ind w:right="0" w:firstLine="709"/>
        <w:rPr/>
      </w:pPr>
      <w:r>
        <w:rPr/>
        <w:t>В соответствии со статьей 23 Закона № 248-ФЗ, пунктом 22 Положения о лицензировании министерством проведено и закреплено приказом отнесение объектов контроля к категориям риска (</w:t>
      </w:r>
      <w:hyperlink r:id="rId3">
        <w:r>
          <w:rPr>
            <w:rStyle w:val="-"/>
          </w:rPr>
          <w:t>https://mert.tatarstan.ru/reestr-obektov-kontrolya-za-deyatelnostyu-po.htm</w:t>
        </w:r>
      </w:hyperlink>
      <w:r>
        <w:rPr/>
        <w:t xml:space="preserve">). </w:t>
      </w:r>
    </w:p>
    <w:p>
      <w:pPr>
        <w:pStyle w:val="Normal"/>
        <w:spacing w:lineRule="auto" w:line="276" w:before="0" w:after="0"/>
        <w:ind w:right="0" w:firstLine="709"/>
        <w:rPr/>
      </w:pPr>
      <w:r>
        <w:rPr/>
        <w:t>Все объекты контроля в подконтрольной министерству сфере деятельности отнесены к средней либо низкой категории риска, к высокой категории риска не отнесен ни один из объектов контроля.</w:t>
      </w:r>
    </w:p>
    <w:p>
      <w:pPr>
        <w:pStyle w:val="Normal"/>
        <w:spacing w:lineRule="auto" w:line="276" w:before="0" w:after="0"/>
        <w:ind w:right="0" w:firstLine="709"/>
        <w:rPr/>
      </w:pPr>
      <w:r>
        <w:rPr/>
        <w:t>Категорирование объектов в соответствии с нормами законодательства проводится один раз в год до 1 августа текущего года, для применения в следующем году.</w:t>
      </w:r>
    </w:p>
    <w:p>
      <w:pPr>
        <w:pStyle w:val="Normal"/>
        <w:spacing w:lineRule="auto" w:line="276" w:before="0" w:after="0"/>
        <w:ind w:right="0" w:firstLine="709"/>
        <w:rPr/>
      </w:pPr>
      <w:r>
        <w:rPr/>
        <w:t>В случае если объект лицензионного контроля не отнесен к определенной категории риска, он считается отнесенным к категории низкого риска.</w:t>
      </w:r>
    </w:p>
    <w:p>
      <w:pPr>
        <w:pStyle w:val="Normal"/>
        <w:spacing w:lineRule="auto" w:line="276" w:before="0" w:after="0"/>
        <w:ind w:right="0" w:firstLine="709"/>
        <w:rPr/>
      </w:pPr>
      <w:r>
        <w:rPr/>
        <w:t>Планирование контрольных (надзорных) мероприятий осуществляется министерством в соответствии с категориями риска объектов контроля.</w:t>
      </w:r>
    </w:p>
    <w:p>
      <w:pPr>
        <w:pStyle w:val="Normal"/>
        <w:spacing w:lineRule="auto" w:line="276" w:before="0" w:after="0"/>
        <w:ind w:right="0" w:firstLine="709"/>
        <w:rPr/>
      </w:pPr>
      <w:r>
        <w:rPr/>
        <w:t>Пунктом 28 Положения о лицензировании установлено, что для категории среднего риска проводится одно из следующих контрольных (надзорных) мероприятий: выездная проверка - 1 раз в течение 3 лет или инспекционный визит - 1 раз в течение 3 лет. Для категории низкого риска плановые контрольные (надзорные) мероприятия не проводятся.</w:t>
      </w:r>
    </w:p>
    <w:p>
      <w:pPr>
        <w:pStyle w:val="Normal"/>
        <w:spacing w:lineRule="auto" w:line="276" w:before="0" w:after="0"/>
        <w:ind w:left="58" w:right="0" w:hanging="0"/>
        <w:jc w:val="center"/>
        <w:rPr>
          <w:b/>
          <w:sz w:val="30"/>
        </w:rPr>
      </w:pPr>
      <w:r>
        <w:rPr>
          <w:b/>
          <w:sz w:val="30"/>
        </w:rPr>
      </w:r>
    </w:p>
    <w:p>
      <w:pPr>
        <w:pStyle w:val="Normal"/>
        <w:spacing w:lineRule="auto" w:line="276" w:before="0" w:after="0"/>
        <w:ind w:left="58" w:right="0" w:hanging="0"/>
        <w:jc w:val="center"/>
        <w:rPr>
          <w:sz w:val="30"/>
        </w:rPr>
      </w:pPr>
      <w:r>
        <w:rPr>
          <w:sz w:val="30"/>
        </w:rPr>
        <w:t>2. Соблюдение обязательных требований</w:t>
      </w:r>
    </w:p>
    <w:p>
      <w:pPr>
        <w:pStyle w:val="Normal"/>
        <w:spacing w:lineRule="auto" w:line="276" w:before="0" w:after="0"/>
        <w:ind w:left="58" w:right="0" w:hanging="0"/>
        <w:jc w:val="center"/>
        <w:rPr/>
      </w:pPr>
      <w:r>
        <w:rPr/>
      </w:r>
    </w:p>
    <w:p>
      <w:pPr>
        <w:pStyle w:val="Normal"/>
        <w:spacing w:lineRule="auto" w:line="276" w:before="0" w:after="0"/>
        <w:ind w:right="0" w:firstLine="709"/>
        <w:rPr>
          <w:u w:val="single"/>
        </w:rPr>
      </w:pPr>
      <w:r>
        <w:rPr>
          <w:u w:val="single"/>
        </w:rPr>
        <w:t>Перечни нормативных правовых актов, содержащих обязательные требования, соблюдение которых оценивается при проведении министерством государственного контроля (надзора) в сфере заготовки, хранения, переработки и реализации лома черных, цветных металлов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лицензионного контроля деятельности по заготовке, хранению, переработке и реализации лома черных металлов, цветных металлов, сформирован на основании Положения о лицензировании, утвержден приказом министра экономики Республики Татарстан № 349 от 22.09.2022 и размещен на официальном сайте министерства (</w:t>
      </w:r>
      <w:hyperlink r:id="rId4">
        <w:r>
          <w:rPr>
            <w:rStyle w:val="-"/>
          </w:rPr>
          <w:t>https://mert.tatarstan.ru/license.htm</w:t>
        </w:r>
      </w:hyperlink>
      <w:r>
        <w:rPr/>
        <w:t>).</w:t>
      </w:r>
    </w:p>
    <w:p>
      <w:pPr>
        <w:pStyle w:val="Normal"/>
        <w:spacing w:lineRule="auto" w:line="276" w:before="0" w:after="0"/>
        <w:ind w:left="51" w:right="0" w:firstLine="544"/>
        <w:rPr/>
      </w:pPr>
      <w:r>
        <w:rPr/>
        <w:t>Министерством проводится на постоянной основе работа по оценке актуальности и полноты перечня и текстов правовых актов, содержащих обязательные требования, осуществляется мониторинг обязательных требований, содержащихся в нормативных правовых актах, применяемых при осуществлении министерством мероприятий по контролю (надзору), и актуализация указанных перечней.</w:t>
      </w:r>
    </w:p>
    <w:p>
      <w:pPr>
        <w:pStyle w:val="Normal"/>
        <w:spacing w:lineRule="auto" w:line="276" w:before="0" w:after="0"/>
        <w:ind w:left="51" w:right="0" w:firstLine="544"/>
        <w:rPr/>
      </w:pPr>
      <w:r>
        <w:rPr/>
        <w:t>Приказом Министерства промышленности и торговли Российской Федерации от 30.06.2023 № 2409 утверждены индикаторы риска нарушения обязательных требований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металлов:</w:t>
      </w:r>
    </w:p>
    <w:p>
      <w:pPr>
        <w:pStyle w:val="Style18"/>
        <w:spacing w:lineRule="auto" w:line="276" w:before="0" w:after="0"/>
        <w:ind w:left="52" w:right="0" w:firstLine="547"/>
        <w:rPr>
          <w:b w:val="false"/>
        </w:rPr>
      </w:pPr>
      <w:r>
        <w:rPr>
          <w:b w:val="false"/>
        </w:rPr>
        <w:t>Поступление в лицензирующий орган заявления о предоставлении лицензии на осуществление деятельности по заготовке, хранению, переработке и реализации лома черных и цветных металлов (о внесении изменений в реестр лицензий на осуществление деятельности по заготовке, хранению, переработке и реализации лома черных и цветных металлов) от соискателя лицензии (лицензиата), производственный объект которого, заявленный (используемый) для осуществления деятельности по заготовке, хранению, переработке и реализации лома черных и цветных металлов, принадлежит на праве собственности или ином законном основании иному лицензиату, при условии отсутствия в лицензирующем органе направленного таким лицензиатом заявления о внесении изменений в реестр лицензий на осуществление деятельности по заготовке, хранению, переработке и реализации лома черных и цветных металлов в связи с прекращением осуществления деятельности по заготовке, хранению, переработке и реализации лома черных и цветных металлов на указанном производственном объекте, либо заявления о прекращении деятельности;</w:t>
      </w:r>
    </w:p>
    <w:p>
      <w:pPr>
        <w:pStyle w:val="Style18"/>
        <w:spacing w:lineRule="auto" w:line="276" w:before="0" w:after="0"/>
        <w:ind w:left="52" w:right="0" w:firstLine="547"/>
        <w:rPr>
          <w:b w:val="false"/>
        </w:rPr>
      </w:pPr>
      <w:r>
        <w:rPr>
          <w:b w:val="false"/>
        </w:rPr>
        <w:t>Поступление в лицензирующий орган заявления о предоставлении лицензии на осуществление деятельности по заготовке, хранению, переработке и реализации лома черных и цветных металлов (о внесении изменений в реестр лицензий на осуществление деятельности по заготовке, хранению, переработке и реализации лома черных и цветных металлов) от соискателя лицензии (лицензиата), производственное оборудование которого, заявленное (используемое) для осуществления деятельности по заготовке, хранению, переработке и реализации лома черных и цветных металлов, принадлежит на праве собственности или ином законном основании иному лицензиату, при условии отсутствия в лицензирующем органе направленного таким лицензиатом заявления о прекращении деятельности по заготовке, хранению, переработке и реализации лома черных и цветных металлов.</w:t>
      </w:r>
    </w:p>
    <w:p>
      <w:pPr>
        <w:pStyle w:val="Style18"/>
        <w:spacing w:lineRule="auto" w:line="276" w:before="0" w:after="0"/>
        <w:ind w:left="52" w:right="0" w:firstLine="547"/>
        <w:rPr>
          <w:b w:val="false"/>
        </w:rPr>
      </w:pPr>
      <w:r>
        <w:rPr>
          <w:b w:val="false"/>
        </w:rPr>
      </w:r>
    </w:p>
    <w:p>
      <w:pPr>
        <w:pStyle w:val="Normal"/>
        <w:spacing w:lineRule="auto" w:line="276" w:before="0" w:after="0"/>
        <w:ind w:right="0" w:firstLine="709"/>
        <w:jc w:val="left"/>
        <w:rPr>
          <w:u w:val="single"/>
        </w:rPr>
      </w:pPr>
      <w:r>
        <w:rPr>
          <w:u w:val="single"/>
        </w:rPr>
        <w:t>Типовые нарушения обязательных требований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 xml:space="preserve">Мораторий на проведение плановых проверок не позволяет вывести заключение о типовых нарушениях, выявленных в ходе планового контроля, тем не менее, исходя из результатов профилактических визитов, можно определенно говорить о наиболее часто встречающихся следующих нарушениях. 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В части наличия объектов недвижимости - несоответствие договоров аренды нормам Гражданского кодекса Российской Федерации; истечение сроков их действия.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В части наличия оборудования и технической документации - истечение сроков поверки оборудования; отсутствие на объекте технической документации на момент проверки.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В части наличия квалифицированных работников – отсутствие либо истечение сроков действия квалификационных документов работников (удостоверений, свидетельств, аттестатов и т.д.); несоответствие трудовых договоров нормам Трудового кодекса Российской Федерации; отсутствие трудовых документов работников.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В части наличия и правильного оформления первичных документов по приему лома металлов.</w:t>
      </w:r>
    </w:p>
    <w:p>
      <w:pPr>
        <w:pStyle w:val="Normal"/>
        <w:spacing w:lineRule="auto" w:line="276" w:before="0" w:after="0"/>
        <w:ind w:right="0" w:hanging="0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76" w:before="0" w:after="0"/>
        <w:ind w:right="0" w:firstLine="709"/>
        <w:rPr>
          <w:u w:val="single"/>
        </w:rPr>
      </w:pPr>
      <w:r>
        <w:rPr>
          <w:u w:val="single"/>
        </w:rPr>
        <w:t>Профилактические мероприятия, направленные на недопущение нарушений обязательных требований</w:t>
      </w:r>
    </w:p>
    <w:p>
      <w:pPr>
        <w:pStyle w:val="Normal"/>
        <w:spacing w:lineRule="auto" w:line="276" w:before="0" w:after="0"/>
        <w:ind w:left="51" w:right="0" w:firstLine="697"/>
        <w:rPr/>
      </w:pPr>
      <w:r>
        <w:rPr/>
        <w:t xml:space="preserve">В рамках проведения работы, направленной на предупреждение нарушений лицензиатами обязательных требований, соблюдение которых оценивается министерством при проведении мероприятий по контролю, в 2024 году министерством осуществлялись профилактические мероприятия, предусмотренные Программой Министерства экономики Республики Татарстан профилактики рисков причинения вреда охраняемым законом ценностям в сфере заготовки, хранения, переработки и реализации лома черных металлов, цветных металлов, утвержденной приказом министра экономики Республики Татарстан от 16 ноября 2023 г. № 231 (далее — Программа). 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Целями Программы являются:</w:t>
      </w:r>
    </w:p>
    <w:p>
      <w:pPr>
        <w:pStyle w:val="Normal"/>
        <w:spacing w:lineRule="auto" w:line="276" w:before="0" w:after="0"/>
        <w:ind w:right="0" w:firstLine="709"/>
        <w:jc w:val="lef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spacing w:lineRule="auto" w:line="276" w:before="0" w:after="0"/>
        <w:ind w:right="0" w:firstLine="709"/>
        <w:jc w:val="lef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spacing w:lineRule="auto" w:line="276" w:before="0" w:after="0"/>
        <w:ind w:righ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lineRule="auto" w:line="276" w:before="0" w:after="0"/>
        <w:ind w:left="51" w:right="0" w:firstLine="697"/>
        <w:rPr/>
      </w:pPr>
      <w:r>
        <w:rPr/>
        <w:t>Задачами Программы являются:</w:t>
      </w:r>
    </w:p>
    <w:p>
      <w:pPr>
        <w:pStyle w:val="Normal"/>
        <w:spacing w:lineRule="auto" w:line="276" w:before="0" w:after="0"/>
        <w:ind w:righ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выявление причин и условий, способствующих нарушениям обязательных требований; </w:t>
      </w:r>
    </w:p>
    <w:p>
      <w:pPr>
        <w:pStyle w:val="Normal"/>
        <w:spacing w:lineRule="auto" w:line="276" w:before="0" w:after="0"/>
        <w:ind w:righ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формирование единого понимания обязательных требований у всех контролируемых лиц;</w:t>
      </w:r>
    </w:p>
    <w:p>
      <w:pPr>
        <w:pStyle w:val="Normal"/>
        <w:spacing w:lineRule="auto" w:line="276" w:before="0" w:after="0"/>
        <w:ind w:righ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повышение уровня информированности контролируемых лиц;</w:t>
      </w:r>
    </w:p>
    <w:p>
      <w:pPr>
        <w:pStyle w:val="Normal"/>
        <w:spacing w:lineRule="auto" w:line="276" w:before="0" w:after="0"/>
        <w:ind w:righ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поддержание мотивации к добросовестному поведению.  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В 2024 году Министерством в рамках Программы осуществлялось:</w:t>
      </w:r>
    </w:p>
    <w:p>
      <w:pPr>
        <w:pStyle w:val="Normal"/>
        <w:spacing w:lineRule="auto" w:line="276" w:before="0" w:after="0"/>
        <w:ind w:left="52" w:right="0" w:firstLine="374"/>
        <w:rPr/>
      </w:pPr>
      <w:r>
        <w:rPr/>
        <w:t>анализ и обобщение правоприменительной практики;</w:t>
      </w:r>
    </w:p>
    <w:p>
      <w:pPr>
        <w:pStyle w:val="Normal"/>
        <w:spacing w:lineRule="auto" w:line="276" w:before="0" w:after="0"/>
        <w:ind w:left="52" w:right="0" w:firstLine="374"/>
        <w:rPr/>
      </w:pPr>
      <w:r>
        <w:rPr/>
        <w:t>обсуждение с лицензиатами актуальных вопросов, поступивших в ходе консультирования;</w:t>
      </w:r>
    </w:p>
    <w:p>
      <w:pPr>
        <w:pStyle w:val="Normal"/>
        <w:spacing w:lineRule="auto" w:line="276" w:before="0" w:after="0"/>
        <w:ind w:left="52" w:right="0" w:firstLine="374"/>
        <w:rPr/>
      </w:pPr>
      <w:r>
        <w:rPr/>
        <w:t>проведение профилактических визитов;</w:t>
      </w:r>
    </w:p>
    <w:p>
      <w:pPr>
        <w:pStyle w:val="Normal"/>
        <w:spacing w:lineRule="auto" w:line="276" w:before="0" w:after="0"/>
        <w:ind w:left="52" w:right="0" w:firstLine="374"/>
        <w:rPr/>
      </w:pPr>
      <w:r>
        <w:rPr/>
        <w:t>регулярный мониторинг законодательства в части установления обязательных требований;</w:t>
      </w:r>
    </w:p>
    <w:p>
      <w:pPr>
        <w:pStyle w:val="Normal"/>
        <w:spacing w:lineRule="auto" w:line="276" w:before="0" w:after="0"/>
        <w:ind w:left="52" w:right="0" w:firstLine="374"/>
        <w:rPr/>
      </w:pPr>
      <w:r>
        <w:rPr/>
        <w:t>мониторинг перечня нормативных правовых актов, регулирующих осуществление подконтрольной деятельности, поддержание в актуальном состоянии данного перечня на сайте министерства;</w:t>
      </w:r>
    </w:p>
    <w:p>
      <w:pPr>
        <w:pStyle w:val="Normal"/>
        <w:spacing w:lineRule="auto" w:line="276" w:before="0" w:after="0"/>
        <w:ind w:left="52" w:right="0" w:firstLine="374"/>
        <w:rPr/>
      </w:pPr>
      <w:r>
        <w:rPr/>
        <w:t xml:space="preserve">разъяснительная работа относительно процедур контроля, в том числе размещение в открытых источниках описаний процессов проведения контрольных надзорных мероприятий, профилактических мероприятий; </w:t>
      </w:r>
    </w:p>
    <w:p>
      <w:pPr>
        <w:pStyle w:val="Normal"/>
        <w:spacing w:lineRule="auto" w:line="276" w:before="0" w:after="0"/>
        <w:ind w:left="52" w:right="0" w:firstLine="374"/>
        <w:rPr/>
      </w:pPr>
      <w:r>
        <w:rPr/>
        <w:t>размещение на официальном сайте перечня обязательных требований, оценка соблюдения которых является предметом контроля (надзора), профилактики;</w:t>
      </w:r>
    </w:p>
    <w:p>
      <w:pPr>
        <w:pStyle w:val="Normal"/>
        <w:spacing w:lineRule="auto" w:line="276" w:before="0" w:after="0"/>
        <w:ind w:left="52" w:right="0" w:firstLine="374"/>
        <w:rPr/>
      </w:pPr>
      <w:r>
        <w:rPr/>
        <w:t xml:space="preserve">информирование подконтрольных субъектов по вопросам соблюдения обязательных требований с использованием информационных технологий, в том числе: </w:t>
      </w:r>
    </w:p>
    <w:p>
      <w:pPr>
        <w:pStyle w:val="Normal"/>
        <w:spacing w:lineRule="auto" w:line="276" w:before="0" w:after="0"/>
        <w:ind w:right="0" w:hanging="0"/>
        <w:rPr/>
      </w:pPr>
      <w:r>
        <w:rPr/>
        <w:t>- ведение на сайте министерства «Дистанционной школы лицензиата»;</w:t>
      </w:r>
    </w:p>
    <w:p>
      <w:pPr>
        <w:pStyle w:val="Normal"/>
        <w:spacing w:lineRule="auto" w:line="276" w:before="0" w:after="0"/>
        <w:ind w:right="0" w:hanging="0"/>
        <w:rPr/>
      </w:pPr>
      <w:r>
        <w:rPr/>
        <w:t xml:space="preserve">- рассмотрение жалоб, полученных по «горячей линии»; </w:t>
      </w:r>
    </w:p>
    <w:p>
      <w:pPr>
        <w:pStyle w:val="Normal"/>
        <w:spacing w:lineRule="auto" w:line="276" w:before="0" w:after="0"/>
        <w:ind w:right="0" w:hanging="0"/>
        <w:rPr/>
      </w:pPr>
      <w:r>
        <w:rPr/>
        <w:t xml:space="preserve">- опубликование обзоров типовых нарушений обязательных требований с описанием способов их недопущения; </w:t>
      </w:r>
    </w:p>
    <w:p>
      <w:pPr>
        <w:pStyle w:val="Normal"/>
        <w:spacing w:lineRule="auto" w:line="276" w:before="0" w:after="0"/>
        <w:ind w:right="0" w:hanging="0"/>
        <w:rPr/>
      </w:pPr>
      <w:r>
        <w:rPr/>
        <w:t xml:space="preserve">- подготовка и опубликование руководств по соблюдению обязательных требований; </w:t>
      </w:r>
    </w:p>
    <w:p>
      <w:pPr>
        <w:pStyle w:val="Normal"/>
        <w:spacing w:lineRule="auto" w:line="276" w:before="0" w:after="0"/>
        <w:ind w:right="0" w:hanging="0"/>
        <w:rPr/>
      </w:pPr>
      <w:r>
        <w:rPr/>
        <w:t xml:space="preserve">- подготовка комментариев об изменениях в законодательстве, проактивное консультирование лицензиатов; </w:t>
      </w:r>
    </w:p>
    <w:p>
      <w:pPr>
        <w:pStyle w:val="Normal"/>
        <w:spacing w:lineRule="auto" w:line="276" w:before="0" w:after="0"/>
        <w:ind w:right="0" w:hanging="0"/>
        <w:rPr/>
      </w:pPr>
      <w:r>
        <w:rPr/>
        <w:t xml:space="preserve">- проведение консультаций по разъяснению обязательных требований; </w:t>
      </w:r>
    </w:p>
    <w:p>
      <w:pPr>
        <w:pStyle w:val="Normal"/>
        <w:spacing w:lineRule="auto" w:line="276" w:before="0" w:after="0"/>
        <w:ind w:left="52" w:right="0" w:firstLine="374"/>
        <w:rPr/>
      </w:pPr>
      <w:r>
        <w:rPr/>
        <w:t>повышение квалификации должностных лиц министерства, осуществляющих контрольную (надзорную) деятельность в подконтрольной сфере;</w:t>
      </w:r>
    </w:p>
    <w:p>
      <w:pPr>
        <w:pStyle w:val="Normal"/>
        <w:spacing w:lineRule="auto" w:line="276" w:before="0" w:after="0"/>
        <w:ind w:left="52" w:right="0" w:firstLine="374"/>
        <w:rPr/>
      </w:pPr>
      <w:r>
        <w:rPr/>
        <w:t>поддержание системы обратной связи с подконтрольными субъектами по вопросам применения обязательных требований;</w:t>
      </w:r>
    </w:p>
    <w:p>
      <w:pPr>
        <w:pStyle w:val="Normal"/>
        <w:spacing w:lineRule="auto" w:line="276" w:before="0" w:after="0"/>
        <w:ind w:left="52" w:right="0" w:firstLine="374"/>
        <w:rPr/>
      </w:pPr>
      <w:r>
        <w:rPr/>
        <w:t>разработка и размещение на сайте министерства чек-листов, позволяющих лицензиату, соискателю лицензии самостоятельно оценить исполнение обязательных требований.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В целях достижения открытости и доступности информации на сайте министерства организован специальный раздел «Профилактика нарушений обязательных требований» (</w:t>
      </w:r>
      <w:hyperlink r:id="rId5">
        <w:r>
          <w:rPr>
            <w:rStyle w:val="-"/>
          </w:rPr>
          <w:t>https://mert.tatarstan.ru/profilaktika-narusheniy-litsenzionnih-trebovaniy.htm</w:t>
        </w:r>
      </w:hyperlink>
      <w:r>
        <w:rPr/>
        <w:t>),</w:t>
      </w:r>
      <w:bookmarkStart w:id="0" w:name="_GoBack"/>
      <w:bookmarkEnd w:id="0"/>
      <w:r>
        <w:rPr/>
        <w:t xml:space="preserve"> в состав которого входят в том числе, подразделы: 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- доклады, содержащие результаты обобщения правоприменительной практики;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- Программа Министерства экономики Республики Татарстан профилактики рисков причинения вреда охраняемым законом ценностям в сфере заготовки, хранения, переработки и реализации лома черных металлов, цветных металлов;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- руководство по соблюдению обязательных требований, выполнение которых оценивается в ходе проведения мероприятий при осуществлении государственного контроля в сфере деятельности по заготовке, хранению, переработке и реализации лома черных, цветных металлов;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- Типовые нарушения и разъяснения к ним.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Также на сайте министерства организована Дистанционная школа лицензиата (</w:t>
      </w:r>
      <w:hyperlink r:id="rId6">
        <w:r>
          <w:rPr>
            <w:rStyle w:val="-"/>
          </w:rPr>
          <w:t>https://mert.tatarstan.ru/Remote_school_of_the_licensee.htm</w:t>
        </w:r>
      </w:hyperlink>
      <w:r>
        <w:rPr/>
        <w:t xml:space="preserve">), где в доступной форме изложены как общие вопросы лицензирования и контроля, так и особенности их процедур, сложности, провоцирующие совершение нарушений. 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В разделах «Часто задаваемые вопросы» (</w:t>
      </w:r>
      <w:hyperlink r:id="rId7">
        <w:r>
          <w:rPr>
            <w:rStyle w:val="-"/>
          </w:rPr>
          <w:t>https://mert.tatarstan.ru/index.htm/faq/2201.htm</w:t>
        </w:r>
      </w:hyperlink>
      <w:r>
        <w:rPr>
          <w:color w:val="auto"/>
        </w:rPr>
        <w:t>) и «Полезная информация» (</w:t>
      </w:r>
      <w:hyperlink r:id="rId8">
        <w:r>
          <w:rPr>
            <w:rStyle w:val="-"/>
          </w:rPr>
          <w:t>https://mert.tatarstan.ru/poleznaya-informatsiya.htm</w:t>
        </w:r>
      </w:hyperlink>
      <w:r>
        <w:rPr>
          <w:color w:val="auto"/>
        </w:rPr>
        <w:t>) р</w:t>
      </w:r>
      <w:r>
        <w:rPr/>
        <w:t>азмещены дополнительные сведения, разъясняющие отдельные особенности применения законодательства и также направленные на исключение нарушений в деятельности лицензиатов, соискателей лицензий.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 xml:space="preserve">В целях организации обратной связи на сайте министерства размещена доступная для заполнения анкета для соискателей лицензии и подконтрольных субъектов по вопросам качества услуги лицензирования, эффективности государственного лицензионного контроля    </w:t>
      </w:r>
      <w:r>
        <w:rPr>
          <w:color w:val="auto"/>
        </w:rPr>
        <w:t>(</w:t>
      </w:r>
      <w:hyperlink r:id="rId9">
        <w:r>
          <w:rPr>
            <w:rStyle w:val="-"/>
          </w:rPr>
          <w:t>https://mert.tatarstan.ru/licensing/opros.htm</w:t>
        </w:r>
      </w:hyperlink>
      <w:r>
        <w:rPr>
          <w:color w:val="auto"/>
        </w:rPr>
        <w:t>).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>
          <w:color w:val="auto"/>
        </w:rPr>
        <w:t>На сайте размещены утвержденные проверочные листы в формате, допускающем их использование для самообследования лицензиатов (</w:t>
      </w:r>
      <w:hyperlink r:id="rId10">
        <w:r>
          <w:rPr>
            <w:rStyle w:val="-"/>
          </w:rPr>
          <w:t>https://mert.tatarstan.ru/utverzhdennie-proverochnie-listi-v-formate.htm</w:t>
        </w:r>
      </w:hyperlink>
      <w:r>
        <w:rPr/>
        <w:t xml:space="preserve">). 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>
          <w:shd w:fill="auto" w:val="clear"/>
        </w:rPr>
        <w:t xml:space="preserve">В 2024 году было запланировано к проведению 43 профилактических визита, из которых проведено 35, 3 лицензиата прекратили деятельность, 5 лицензиата отказались от их проведения. </w:t>
      </w:r>
      <w:r>
        <w:rPr/>
        <w:t>В этой связи были приняты меры по популяризации такого вида контрольного (надзорного) мероприятия в ходе осуществления информирования, консультирования специалистами министерства.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/>
        <w:t>На постоянной основе на официальном сайте министерства обеспечивается объективное и всестороннее информационное освещение деятельности министерства, направленное на предотвращение нарушений обязательных требований, в части информирования подконтрольных субъектов о проводимых контрольных надзорных мероприятиях, выявленных нарушениях и принятых по результатам проведенных мероприятий мерах.</w:t>
      </w:r>
    </w:p>
    <w:sectPr>
      <w:headerReference w:type="even" r:id="rId11"/>
      <w:headerReference w:type="default" r:id="rId12"/>
      <w:type w:val="nextPage"/>
      <w:pgSz w:w="11906" w:h="16838"/>
      <w:pgMar w:left="1134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38" w:right="0" w:hanging="0"/>
      <w:jc w:val="center"/>
      <w:rPr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0</w:t>
    </w:r>
    <w:r>
      <w:rPr>
        <w:sz w:val="24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52995071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Normal"/>
      <w:spacing w:lineRule="auto" w:line="259" w:before="0" w:after="0"/>
      <w:ind w:left="38" w:right="0" w:hanging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"/>
      <w:ind w:right="950" w:firstLine="70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71b6"/>
    <w:rPr>
      <w:rFonts w:ascii="Tahoma" w:hAnsi="Tahoma" w:eastAsia="Times New Roman" w:cs="Tahoma"/>
      <w:color w:val="000000"/>
      <w:sz w:val="16"/>
      <w:szCs w:val="16"/>
    </w:rPr>
  </w:style>
  <w:style w:type="character" w:styleId="Style15" w:customStyle="1">
    <w:name w:val="Нижний колонтитул Знак"/>
    <w:basedOn w:val="DefaultParagraphFont"/>
    <w:uiPriority w:val="99"/>
    <w:qFormat/>
    <w:rsid w:val="00b279e3"/>
    <w:rPr>
      <w:rFonts w:ascii="Times New Roman" w:hAnsi="Times New Roman" w:eastAsia="Times New Roman" w:cs="Times New Roman"/>
      <w:color w:val="000000"/>
      <w:sz w:val="28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279e3"/>
    <w:rPr>
      <w:rFonts w:cs="Times New Roman"/>
    </w:rPr>
  </w:style>
  <w:style w:type="character" w:styleId="-">
    <w:name w:val="Hyperlink"/>
    <w:basedOn w:val="DefaultParagraphFont"/>
    <w:uiPriority w:val="99"/>
    <w:unhideWhenUsed/>
    <w:rsid w:val="00f564cb"/>
    <w:rPr>
      <w:color w:val="0563C1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71b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link w:val="Style15"/>
    <w:uiPriority w:val="99"/>
    <w:unhideWhenUsed/>
    <w:rsid w:val="00b279e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Header"/>
    <w:basedOn w:val="Normal"/>
    <w:link w:val="Style16"/>
    <w:uiPriority w:val="99"/>
    <w:unhideWhenUsed/>
    <w:rsid w:val="00b279e3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  <w:ind w:right="0" w:hanging="0"/>
      <w:jc w:val="left"/>
    </w:pPr>
    <w:rPr>
      <w:rFonts w:ascii="Calibri" w:hAnsi="Calibri" w:eastAsia="" w:asciiTheme="minorHAnsi" w:eastAsiaTheme="minorEastAsia" w:hAnsiTheme="minorHAnsi"/>
      <w:color w:val="auto"/>
      <w:sz w:val="22"/>
    </w:rPr>
  </w:style>
  <w:style w:type="paragraph" w:styleId="ConsPlusNormal" w:customStyle="1">
    <w:name w:val="ConsPlusNormal"/>
    <w:qFormat/>
    <w:rsid w:val="000679f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630b7"/>
    <w:pPr>
      <w:spacing w:before="0" w:after="16"/>
      <w:ind w:left="720" w:right="950" w:firstLine="70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703fdd"/>
    <w:pPr>
      <w:spacing w:lineRule="auto" w:line="240" w:beforeAutospacing="1" w:afterAutospacing="1"/>
      <w:ind w:right="0" w:hanging="0"/>
      <w:jc w:val="left"/>
    </w:pPr>
    <w:rPr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mert.tatarstan.ru/reestr-obektov-kontrolya-za-deyatelnostyu-po.htm" TargetMode="External"/><Relationship Id="rId4" Type="http://schemas.openxmlformats.org/officeDocument/2006/relationships/hyperlink" Target="https://mert.tatarstan.ru/license.htm" TargetMode="External"/><Relationship Id="rId5" Type="http://schemas.openxmlformats.org/officeDocument/2006/relationships/hyperlink" Target="https://mert.tatarstan.ru/profilaktika-narusheniy-litsenzionnih-trebovaniy.htm" TargetMode="External"/><Relationship Id="rId6" Type="http://schemas.openxmlformats.org/officeDocument/2006/relationships/hyperlink" Target="https://mert.tatarstan.ru/Remote_school_of_the_licensee.htm" TargetMode="External"/><Relationship Id="rId7" Type="http://schemas.openxmlformats.org/officeDocument/2006/relationships/hyperlink" Target="https://mert.tatarstan.ru/index.htm/faq/2201.htm" TargetMode="External"/><Relationship Id="rId8" Type="http://schemas.openxmlformats.org/officeDocument/2006/relationships/hyperlink" Target="https://mert.tatarstan.ru/poleznaya-informatsiya.htm" TargetMode="External"/><Relationship Id="rId9" Type="http://schemas.openxmlformats.org/officeDocument/2006/relationships/hyperlink" Target="https://mert.tatarstan.ru/licensing/opros.htm" TargetMode="External"/><Relationship Id="rId10" Type="http://schemas.openxmlformats.org/officeDocument/2006/relationships/hyperlink" Target="https://mert.tatarstan.ru/utverzhdennie-proverochnie-listi-v-formate.htm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Application>LibreOffice/7.5.6.2$Linux_X86_64 LibreOffice_project/50$Build-2</Application>
  <AppVersion>15.0000</AppVersion>
  <Pages>8</Pages>
  <Words>1720</Words>
  <Characters>13690</Characters>
  <CharactersWithSpaces>15358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2024-01-29T10:59:00Z</dcterms:created>
  <dc:creator>Салихов Эмиль Наилевич</dc:creator>
  <dc:description/>
  <dc:language>ru-RU</dc:language>
  <cp:lastModifiedBy/>
  <dcterms:modified xsi:type="dcterms:W3CDTF">2025-01-24T13:15:12Z</dcterms:modified>
  <cp:revision>20</cp:revision>
  <dc:subject/>
  <dc:title>Scanned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