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12178, от 22.03.2024 № 1776, от 06.09.2024 № 5754, от 10.01.2025 № 16)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12678423,36 тысяч рублей, 2025 год – 13855045,52 тысяч рублей»;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0"/>
        <w:gridCol w:w="1702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    финансирования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 год  (тыс. рублей)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13855045,52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37322703,22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13855045,52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37322703,22</w:t>
            </w:r>
          </w:p>
        </w:tc>
      </w:tr>
      <w:tr>
        <w:trPr>
          <w:cantSplit w:val="true"/>
        </w:trPr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37322703,22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37322703,22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10789234,34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12678423,36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13855045,52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4751265,50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5049560,71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bCs/>
                <w:lang w:eastAsia="ru-RU"/>
              </w:rPr>
              <w:t>65538,45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84452,79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6610475,90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7507322,96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12137,85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525,83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827,64</w:t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обеспеченных индивидуальным медико-социальным и психолого-педагогическим сопровождением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12769,02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16334,48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2147,65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147826,05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143889,67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3561,2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723528,86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685057,03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324594,77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312822,38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20288,37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22941,82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5933,51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5"/>
        <w:gridCol w:w="2386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5 349 538,97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6 632 612,33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7 539 986,64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109 723,39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147 826,05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143 889,67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290 954,20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324 594,77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312 822,38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635 051,85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723 528,86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685057,03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19 126,48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20 288,37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22941,82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13 012,06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12 769,02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16334,48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4 371 827,39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4 816 803,95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5134013,50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color w:val="000000"/>
              </w:rPr>
            </w:pPr>
            <w:r>
              <w:rPr>
                <w:rFonts w:eastAsia="Nimbus Roman" w:cs="Nimbus Roman" w:ascii="Nimbus Roman" w:hAnsi="Nimbus Roman"/>
                <w:bCs/>
                <w:color w:val="000000"/>
              </w:rPr>
              <w:t>10 789 234,34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12 678 423,36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13855045,52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12</Pages>
  <Words>1701</Words>
  <Characters>13086</Characters>
  <CharactersWithSpaces>15032</CharactersWithSpaces>
  <Paragraphs>368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dcterms:modified xsi:type="dcterms:W3CDTF">2025-02-11T08:48:45Z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