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08"/>
          <w:tab w:val="left" w:pos="4095" w:leader="none"/>
        </w:tabs>
        <w:ind w:hanging="0" w:left="0" w:right="-1"/>
        <w:jc w:val="right"/>
        <w:rPr/>
      </w:pPr>
      <w:r>
        <w:rPr>
          <w:spacing w:val="-2"/>
          <w:sz w:val="28"/>
          <w:szCs w:val="28"/>
        </w:rPr>
        <w:t xml:space="preserve">Проект постановления </w:t>
      </w:r>
    </w:p>
    <w:p>
      <w:pPr>
        <w:pStyle w:val="Normal"/>
        <w:shd w:val="clear" w:color="auto" w:fill="FFFFFF"/>
        <w:tabs>
          <w:tab w:val="clear" w:pos="708"/>
          <w:tab w:val="left" w:pos="4095" w:leader="none"/>
        </w:tabs>
        <w:ind w:hanging="0" w:left="0" w:right="-1"/>
        <w:jc w:val="right"/>
        <w:rPr/>
      </w:pPr>
      <w:r>
        <w:rPr>
          <w:spacing w:val="-2"/>
          <w:sz w:val="28"/>
          <w:szCs w:val="28"/>
        </w:rPr>
        <w:t>Исполнительного комитета</w:t>
      </w:r>
    </w:p>
    <w:p>
      <w:pPr>
        <w:pStyle w:val="Normal"/>
        <w:shd w:val="clear" w:color="auto" w:fill="FFFFFF"/>
        <w:ind w:hanging="0" w:left="6521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внесении изменений в постановление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Исполнительного комитета от 22.09.2022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№ </w:t>
      </w:r>
      <w:r>
        <w:rPr>
          <w:spacing w:val="-2"/>
          <w:sz w:val="28"/>
          <w:szCs w:val="28"/>
        </w:rPr>
        <w:t xml:space="preserve">4954 «Об утверждении муниципальной программы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«Профилактика терроризма и экстремизма,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 также минимизации и (или) ликвидации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последствий проявлений терроризма и экстремизма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территории муниципального образования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город Набережные Челны на 2023-2025 годы»</w:t>
      </w:r>
    </w:p>
    <w:p>
      <w:pPr>
        <w:pStyle w:val="Normal"/>
        <w:shd w:val="clear" w:color="auto" w:fill="FFFFFF"/>
        <w:ind w:hanging="0" w:left="10" w:right="-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shd w:val="clear" w:color="auto" w:fill="FFFFFF"/>
        <w:ind w:firstLine="55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550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статьёй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hd w:val="clear" w:color="auto" w:fill="FFFFFF"/>
        <w:ind w:firstLine="55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hanging="0" w:left="10" w:right="-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>
      <w:pPr>
        <w:pStyle w:val="Normal"/>
        <w:shd w:val="clear" w:color="auto" w:fill="FFFFFF"/>
        <w:ind w:hanging="0" w:left="10"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Исполнительного комитета от 22.09.2022 № 4954 </w:t>
      </w:r>
      <w:r>
        <w:rPr>
          <w:spacing w:val="-2"/>
          <w:sz w:val="28"/>
          <w:szCs w:val="28"/>
        </w:rPr>
        <w:t>«Об утверждении муниципальной программы 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2023-2025 годы</w:t>
      </w:r>
      <w:r>
        <w:rPr>
          <w:sz w:val="28"/>
          <w:szCs w:val="28"/>
        </w:rPr>
        <w:t>»  (в редакции постановлений Исполнительного комитета от 24.03.2023 № 2087, от 07.07.2023 № 5940, от 22.12.2023 № 12418, от 19.03.2024 № 1725, от 19.04.2024 № 2475, от 15.08.2024        № 5327, от 02.12.2024 № 8022, от 19.12.2024 №  8477) следующие изменения:</w:t>
      </w:r>
    </w:p>
    <w:p>
      <w:pPr>
        <w:pStyle w:val="Normal"/>
        <w:shd w:val="clear" w:color="auto" w:fill="FFFFFF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1) пункт 2 изложить в следующей редакции:</w:t>
      </w:r>
    </w:p>
    <w:p>
      <w:pPr>
        <w:pStyle w:val="Normal"/>
        <w:shd w:val="clear" w:color="auto" w:fill="FFFFFF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Управлению финансов Исполнительного комитета обеспечить финансирование программы, указанной в пункте 1 настоящего постановления, за счет средств, предусмотренных в бюджете муниципального образования город Набережные Челны по разделам (подразделам) 01.13 «Другие общегосударственные вопросы», 07.01 «Дошкольное образование», 07.02 «Общее образование», 07.03 «Дополнительное образование детей», 07.07 «Молодежная политика и оздоровление детей», 08.01 «Культура», 11.01 «Физическая культура», в 2023 году - 180 043,24 тыс. рублей, 2024 году - 184 380,02 тыс. рублей, 2025 году - </w:t>
      </w:r>
      <w:r>
        <w:rPr>
          <w:rFonts w:ascii="Tinos" w:hAnsi="Tinos"/>
          <w:b w:val="false"/>
          <w:bCs w:val="false"/>
          <w:sz w:val="28"/>
          <w:szCs w:val="28"/>
        </w:rPr>
        <w:t xml:space="preserve">202 086,21 </w:t>
      </w:r>
      <w:r>
        <w:rPr>
          <w:sz w:val="28"/>
          <w:szCs w:val="28"/>
        </w:rPr>
        <w:t>тыс. рублей.»;</w:t>
      </w:r>
    </w:p>
    <w:p>
      <w:pPr>
        <w:pStyle w:val="Normal"/>
        <w:shd w:val="clear" w:color="auto" w:fill="FFFFFF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r>
        <w:rPr>
          <w:spacing w:val="-2"/>
          <w:sz w:val="28"/>
          <w:szCs w:val="28"/>
        </w:rPr>
        <w:t>муниципальной программе «Профилактика терроризма и экстремизма, а также минимизация и (или) ликвидация последствий проявлений терроризма и экстремизма на территории муниципального образования город Набережные Челны на 2023-2025 годы»:</w:t>
      </w:r>
    </w:p>
    <w:p>
      <w:pPr>
        <w:pStyle w:val="Normal"/>
        <w:shd w:val="clear" w:color="auto" w:fill="FFFFFF"/>
        <w:ind w:firstLine="709" w:left="0" w:right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>
        <w:rPr>
          <w:sz w:val="28"/>
          <w:szCs w:val="28"/>
        </w:rPr>
        <w:t>в главе 1 строку «Объемы и источники финансирования программы с разбивкой по годам» изложить в следующей редакции:</w:t>
      </w:r>
    </w:p>
    <w:p>
      <w:pPr>
        <w:pStyle w:val="Normal"/>
        <w:shd w:val="clear" w:color="auto" w:fill="FFFFFF"/>
        <w:ind w:firstLine="708" w:left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d"/>
        <w:tblW w:w="10365" w:type="dxa"/>
        <w:jc w:val="left"/>
        <w:tblInd w:w="-1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1976"/>
        <w:gridCol w:w="1987"/>
        <w:gridCol w:w="1694"/>
        <w:gridCol w:w="1534"/>
        <w:gridCol w:w="1523"/>
        <w:gridCol w:w="1650"/>
      </w:tblGrid>
      <w:tr>
        <w:trPr/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bidi="ar-SA"/>
              </w:rPr>
              <w:t>«Объёмы и источники финансирования программы с разбивкой по годам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Источник финансирования</w:t>
            </w:r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Годы реализации программы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2023 год</w:t>
            </w:r>
          </w:p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тыс. рублей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2024 год тыс. рублей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2025 год тыс. рублей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Всего за период реализации тыс. рублей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Муниципальный бюджет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/>
              <w:suppressAutoHyphens w:val="true"/>
              <w:spacing w:before="0" w:after="0"/>
              <w:ind w:hanging="0" w:left="0" w:right="0"/>
              <w:jc w:val="right"/>
              <w:rPr>
                <w:rFonts w:ascii="Tinos" w:hAnsi="Tinos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180 043,24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/>
              <w:suppressAutoHyphens w:val="true"/>
              <w:spacing w:before="0" w:after="0"/>
              <w:ind w:hanging="0" w:left="0" w:right="0"/>
              <w:jc w:val="right"/>
              <w:rPr>
                <w:rFonts w:ascii="Tinos" w:hAnsi="Tinos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184 380,02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/>
              <w:suppressAutoHyphens w:val="true"/>
              <w:spacing w:before="0" w:after="0"/>
              <w:ind w:hanging="0" w:left="0" w:right="0"/>
              <w:jc w:val="right"/>
              <w:rPr>
                <w:rFonts w:ascii="Tinos" w:hAnsi="Tinos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202 086,21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/>
              <w:suppressAutoHyphens w:val="true"/>
              <w:spacing w:before="0" w:after="0"/>
              <w:ind w:hanging="0" w:left="0" w:right="0"/>
              <w:jc w:val="right"/>
              <w:rPr>
                <w:rFonts w:ascii="Tinos" w:hAnsi="Tinos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nos" w:hAnsi="Tinos"/>
                <w:kern w:val="0"/>
                <w:sz w:val="24"/>
                <w:szCs w:val="24"/>
                <w:lang w:val="ru-RU" w:eastAsia="en-US" w:bidi="ar-SA"/>
              </w:rPr>
              <w:t>566 509,47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Федеральный бюджет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Республиканский бюджет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Прочие источники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312" w:hRule="atLeast"/>
        </w:trPr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Всего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/>
              <w:suppressAutoHyphens w:val="true"/>
              <w:spacing w:before="0" w:after="0"/>
              <w:ind w:hanging="0" w:left="0" w:right="0"/>
              <w:jc w:val="right"/>
              <w:rPr>
                <w:rFonts w:ascii="Tinos" w:hAnsi="Tinos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180 043,24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/>
              <w:suppressAutoHyphens w:val="true"/>
              <w:spacing w:before="0" w:after="0"/>
              <w:ind w:hanging="0" w:left="0" w:right="0"/>
              <w:jc w:val="right"/>
              <w:rPr>
                <w:rFonts w:ascii="Tinos" w:hAnsi="Tinos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184 380,02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/>
              <w:suppressAutoHyphens w:val="true"/>
              <w:spacing w:before="0" w:after="0"/>
              <w:ind w:hanging="0" w:left="0" w:right="0"/>
              <w:jc w:val="right"/>
              <w:rPr>
                <w:rFonts w:ascii="Tinos" w:hAnsi="Tinos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202 086,21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/>
              <w:suppressAutoHyphens w:val="true"/>
              <w:spacing w:before="0" w:after="0"/>
              <w:ind w:hanging="0" w:left="0" w:right="0"/>
              <w:jc w:val="right"/>
              <w:rPr>
                <w:rFonts w:ascii="Tinos" w:hAnsi="Tinos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566 509,47</w:t>
            </w:r>
          </w:p>
        </w:tc>
      </w:tr>
    </w:tbl>
    <w:p>
      <w:pPr>
        <w:pStyle w:val="Normal"/>
        <w:shd w:val="clear" w:color="auto" w:fill="FFFFFF"/>
        <w:ind w:firstLine="698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698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- абзац второй главы 5 изложить в следующей редакции:</w:t>
      </w:r>
    </w:p>
    <w:p>
      <w:pPr>
        <w:pStyle w:val="Normal"/>
        <w:shd w:val="clear" w:color="auto" w:fill="FFFFFF"/>
        <w:ind w:firstLine="698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«Объём финансирования программы на 2023-2025 годы составляет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 w:ascii="Tinos" w:hAnsi="Tinos"/>
          <w:b w:val="false"/>
          <w:bCs w:val="false"/>
          <w:sz w:val="28"/>
          <w:szCs w:val="28"/>
          <w:lang w:eastAsia="en-US"/>
        </w:rPr>
        <w:t>566 509,47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тыс. рублей, в том числе по годам реализации программы: 2023 год – 180 043,24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тыс. рублей, 2024 год -184 380,02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тыс. рублей, 2025 год -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 w:ascii="Tinos" w:hAnsi="Tinos"/>
          <w:b w:val="false"/>
          <w:bCs w:val="false"/>
          <w:sz w:val="28"/>
          <w:szCs w:val="28"/>
          <w:lang w:eastAsia="en-US"/>
        </w:rPr>
        <w:t xml:space="preserve">202 086,21 </w:t>
      </w:r>
      <w:r>
        <w:rPr>
          <w:rFonts w:ascii="Tinos" w:hAnsi="Tinos"/>
          <w:sz w:val="28"/>
          <w:szCs w:val="28"/>
        </w:rPr>
        <w:t>тыс. рублей.»;</w:t>
      </w:r>
    </w:p>
    <w:p>
      <w:pPr>
        <w:pStyle w:val="Normal"/>
        <w:shd w:val="clear" w:color="auto" w:fill="FFFFFF"/>
        <w:ind w:firstLine="698" w:left="10" w:right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  главу 8 изложить в новой редакции согласно приложению.</w:t>
      </w:r>
    </w:p>
    <w:p>
      <w:pPr>
        <w:pStyle w:val="Normal"/>
        <w:shd w:val="clear" w:color="auto" w:fill="FFFFFF"/>
        <w:ind w:firstLine="698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2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постановления, размещение его на официальном портале правовой информации Республики Татарстан (</w:t>
      </w:r>
      <w:r>
        <w:rPr>
          <w:spacing w:val="2"/>
          <w:sz w:val="28"/>
          <w:szCs w:val="28"/>
          <w:lang w:val="en-US"/>
        </w:rPr>
        <w:t>pr</w:t>
      </w:r>
      <w:r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  <w:lang w:val="en-US"/>
        </w:rPr>
        <w:t>vo</w:t>
      </w:r>
      <w:r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tatarstan</w:t>
      </w:r>
      <w:r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ru</w:t>
      </w:r>
      <w:r>
        <w:rPr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>
      <w:pPr>
        <w:pStyle w:val="Normal"/>
        <w:shd w:val="clear" w:color="auto" w:fill="FFFFFF"/>
        <w:ind w:firstLine="698" w:left="10" w:right="-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заведующего сектором гражданской обороны и защиты населения Исполнительного комитета Шипееву Р.К.</w:t>
      </w:r>
    </w:p>
    <w:p>
      <w:pPr>
        <w:pStyle w:val="Normal"/>
        <w:shd w:val="clear" w:color="auto" w:fill="FFFFFF"/>
        <w:ind w:hanging="0" w:left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hanging="0" w:left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hanging="0" w:left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sectPr>
          <w:type w:val="nextPage"/>
          <w:pgSz w:w="11906" w:h="16838"/>
          <w:pgMar w:left="85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rFonts w:eastAsia="Calibri"/>
          <w:spacing w:val="-2"/>
          <w:sz w:val="28"/>
          <w:szCs w:val="28"/>
          <w:lang w:eastAsia="en-US"/>
        </w:rPr>
        <w:t>Исполнительного комитета                                                                          Ф.Ш. Салахов</w:t>
      </w:r>
      <w:r>
        <w:rPr>
          <w:rFonts w:eastAsia="Calibri"/>
          <w:spacing w:val="-2"/>
          <w:sz w:val="24"/>
          <w:szCs w:val="24"/>
          <w:lang w:eastAsia="en-US"/>
        </w:rPr>
        <w:t xml:space="preserve">              </w:t>
      </w:r>
    </w:p>
    <w:p>
      <w:pPr>
        <w:pStyle w:val="Normal"/>
        <w:shd w:val="clear" w:fill="FFFFFF"/>
        <w:ind w:hanging="0" w:left="0"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</w:t>
      </w:r>
    </w:p>
    <w:p>
      <w:pPr>
        <w:pStyle w:val="Normal"/>
        <w:shd w:val="clear" w:fill="FFFFFF"/>
        <w:ind w:hanging="0" w:left="0"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hd w:val="clear" w:fill="FFFFFF"/>
        <w:ind w:hanging="0" w:left="0"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Приложение </w:t>
      </w:r>
    </w:p>
    <w:p>
      <w:pPr>
        <w:pStyle w:val="Normal"/>
        <w:shd w:val="clear" w:fill="FFFFFF"/>
        <w:ind w:hanging="0" w:left="0"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>к постановлению</w:t>
      </w:r>
    </w:p>
    <w:p>
      <w:pPr>
        <w:pStyle w:val="Normal"/>
        <w:shd w:val="clear" w:fill="FFFFFF"/>
        <w:ind w:hanging="0" w:left="0"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Исполнительного комитета </w:t>
      </w:r>
    </w:p>
    <w:p>
      <w:pPr>
        <w:pStyle w:val="Normal"/>
        <w:shd w:val="clear" w:fill="FFFFFF"/>
        <w:ind w:hanging="0" w:left="0" w:right="-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«____» _________ 2025 № ______</w:t>
      </w:r>
    </w:p>
    <w:p>
      <w:pPr>
        <w:pStyle w:val="Normal"/>
        <w:shd w:val="clear" w:fill="FFFFFF"/>
        <w:spacing w:lineRule="auto" w:line="276"/>
        <w:ind w:hanging="0" w:left="0"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hd w:val="clear" w:fill="FFFFFF"/>
        <w:spacing w:lineRule="auto" w:line="276"/>
        <w:ind w:hanging="0" w:left="0"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hd w:val="clear" w:fill="FFFFFF"/>
        <w:spacing w:lineRule="auto" w:line="276" w:before="0" w:after="200"/>
        <w:ind w:hanging="0" w:left="0" w:right="-1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Глава 8.  Цели, задачи, индикаторы оценки результатов программы и финансирование по мероприятиям программы</w:t>
      </w:r>
    </w:p>
    <w:tbl>
      <w:tblPr>
        <w:tblW w:w="163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981"/>
        <w:gridCol w:w="2976"/>
        <w:gridCol w:w="1419"/>
        <w:gridCol w:w="1841"/>
        <w:gridCol w:w="680"/>
        <w:gridCol w:w="724"/>
        <w:gridCol w:w="689"/>
        <w:gridCol w:w="646"/>
        <w:gridCol w:w="1153"/>
        <w:gridCol w:w="62"/>
        <w:gridCol w:w="1260"/>
        <w:gridCol w:w="1244"/>
      </w:tblGrid>
      <w:tr>
        <w:trPr/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№ </w:t>
            </w:r>
            <w:r>
              <w:rPr>
                <w:rFonts w:eastAsia="Calibri"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Наименование основных мероприятий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Исполнитель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Сроки выполнения основных мероприятий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Индикатор оценки конечных результатов, единица измерения</w:t>
            </w:r>
          </w:p>
        </w:tc>
        <w:tc>
          <w:tcPr>
            <w:tcW w:w="2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Значения индикаторов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с указанием источника финансирования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(тыс. руб.)</w:t>
            </w:r>
          </w:p>
        </w:tc>
      </w:tr>
      <w:tr>
        <w:trPr>
          <w:trHeight w:val="227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базовый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2025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2025</w:t>
            </w:r>
          </w:p>
        </w:tc>
      </w:tr>
      <w:tr>
        <w:trPr/>
        <w:tc>
          <w:tcPr>
            <w:tcW w:w="163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Цель: повышение уровня защищённости жизни и спокойствия граждан, проживающих на территории муниципального образования город Набережные Челны, их законных прав и интересов на основе противодействия экстремизму и терроризму, профилактики и предупреждения их проявлений в городе Набережные Челны</w:t>
            </w:r>
          </w:p>
        </w:tc>
      </w:tr>
      <w:tr>
        <w:trPr>
          <w:trHeight w:val="323" w:hRule="atLeast"/>
        </w:trPr>
        <w:tc>
          <w:tcPr>
            <w:tcW w:w="163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1. Обеспечение условий для профилактической работы с лицами, подверженными воздействию идеологии, а также попавшими под её влияние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заседаний муниципальной рабочей группы по работе с лицами категории «особого внимания» (риска)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муниципальной рабочей группы,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Реализация мер по стимулированию некоммерческих (в том числе религиозных) организаций и общественных активистов за участие в адресных профилактических мероприятиях с лицами категории «особого внимания» (риска)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согласованию),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комитета, управление по делам молодёжи Исполнительного комитета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профилактической работой с привлечением общественных активистов,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Привлечение квалифицированных специалистов для подготовки должностных лиц и общественных активистов, задействованных в работе с лицами категории «особого внимания» (риска), диагностики состояния, оказания психологической и психотерапевтической помощи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 отдел по связям с общественностью управления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специалистов,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специалистов управления по делам молодёжи, спортивных организаций, молодёжных общественных активистов в реализации непрерывных мер поддержки социализирующего характера лиц категории «особого внимания» (риска)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указанными услугами,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должностных лиц образовательных организаций, закреплённых функциональным регламентом, в проведении упреждающей адресной работы с лицами категории «особого внимания»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групповых корректирующих мероприятий (тренингов, семинаров) с учебными классами, в которых обучаются лица категории «особого внимания» (риска) (или их дети),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межотраслевого семинара профессионального мастерства специалистов, участвующих в адресной профилактической работе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семинаров,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84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в молодёжной среде и образовательной сфере профориентационной работы для привлечения в сферы образования и молодёжной политики социальных педагогов, оказание информационного содействия в получении соответствующего образования и последующем трудоустройстве в городе Набережные Челны по специальности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55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работы по склонению лиц категории особого внимания (риска) к выступлениям, направленным на формирование стойкого неприятия идеологии терроризма и привитие традиционных российских духовно-нравственных ценностей в средствах массовой информации, социальных сетях, публичных мероприятиях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 управление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выступивших с подобными разъяснениями,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мероприятий по привлечению молодёжи, не вовлечённой в системный трудовой и учебный процессы, а также представителей неформальных молодёжных формирований к реализации общественно значимых социальных проектов и программ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отдел по связям с общественностью управления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мониторинга активности жителей муниципального образования в деструктивных сообществах в сети «Интернет»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информационных справок по итогам мониторинга,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55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проведения психолого-лингвистических экспертиз и исследований информационных материалов, имеющих признаки возбуждения ненависти и вражды к отдельному лицу или группам лиц, а также унижения человеческого достоинства по признакам расы, национальности и отношения к религии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выполнение представленных экспертиз,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mc:AlternateContent>
                <mc:Choice Requires="wps">
                  <w:drawing>
                    <wp:anchor behindDoc="0" distT="3810" distB="3810" distL="635" distR="0" simplePos="0" locked="0" layoutInCell="1" allowOverlap="1" relativeHeight="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262255</wp:posOffset>
                      </wp:positionV>
                      <wp:extent cx="1847850" cy="0"/>
                      <wp:effectExtent l="635" t="3810" r="0" b="3810"/>
                      <wp:wrapNone/>
                      <wp:docPr id="1" name="Прямая соединительная линия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80" cy="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4pt,20.65pt" to="140.05pt,20.65pt" ID="Прямая соединительная линия 14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635" distL="3175" distR="3810" simplePos="0" locked="0" layoutInCell="1" allowOverlap="1" relativeHeight="10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255905</wp:posOffset>
                      </wp:positionV>
                      <wp:extent cx="635" cy="1704975"/>
                      <wp:effectExtent l="3175" t="0" r="3810" b="635"/>
                      <wp:wrapNone/>
                      <wp:docPr id="2" name="Прямая соединительная линия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70496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0.9pt,20.15pt" to="40.9pt,154.35pt" ID="Прямая соединительная линия 15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635" distL="3810" distR="3810" simplePos="0" locked="0" layoutInCell="1" allowOverlap="1" relativeHeight="11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256540</wp:posOffset>
                      </wp:positionV>
                      <wp:extent cx="0" cy="1695450"/>
                      <wp:effectExtent l="3810" t="0" r="3810" b="635"/>
                      <wp:wrapNone/>
                      <wp:docPr id="3" name="Прямая соединительная линия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69560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7.15pt,20.2pt" to="97.15pt,153.65pt" ID="Прямая соединительная линия 16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left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500,0           700,0             500,0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во взаимодействии с руководством религиозных организаций процедуры отбора и направления кандидатов в ведущие российские теологические учебные заведения (Болгарскую исламскую академию) для подготовки духовных лидеров, исповедующих традиционные для Республики Татарстан формы ислама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направленных кандидатов, чел.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Проведение на базе высших и профессиональных образовательных организаций мероприятий по разъяснению традиционных российских духовно-нравственных ценностей  с участием представителей общественных и религиозных организаций, психологов, студенческих структур самоуправления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с общественностью Исполнительного комитета</w:t>
            </w:r>
            <w:r>
              <w:rPr>
                <w:rFonts w:eastAsia="Calibri"/>
                <w:sz w:val="21"/>
                <w:szCs w:val="21"/>
                <w:lang w:eastAsia="en-US"/>
              </w:rPr>
              <w:t>, управление образования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мероприятий.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Реализация индивидуальных профилактических мероприятий в отношении подростков и детей, находившихся под влиянием  националистических и неонацистских структур, а также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отдел по связям с общественностью управления информационной политики и по связям с общественностью. помощник Мэра по противодействию коррупции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Организация подготовки и  распространение среди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Помощник Мэра по противодействию коррупции 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C9211E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C9211E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Организация работы по созданию и использованию в профилактике цифровых платформ, предусматривающих индивидуальное сопровождение учащихся 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Управление по делам молодёжи Исполнительного комитета, 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556" w:hRule="atLeast"/>
        </w:trPr>
        <w:tc>
          <w:tcPr>
            <w:tcW w:w="163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2. Формирование у населения города Набережные Челны антитеррористического сознания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Обеспечение деятельности информационно-пропагандисткой группы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рабочих групп,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769" w:hRule="atLeast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Разработка, изготовление буклетов, плакатов, распространение памяток и календарей по профилактике терроризма, экстремизма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 годы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буклетов, шт.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7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mc:AlternateContent>
                <mc:Choice Requires="wps">
                  <w:drawing>
                    <wp:anchor behindDoc="0" distT="3175" distB="3810" distL="0" distR="635" simplePos="0" locked="0" layoutInCell="1" allowOverlap="1" relativeHeight="2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309880</wp:posOffset>
                      </wp:positionV>
                      <wp:extent cx="1885950" cy="635"/>
                      <wp:effectExtent l="0" t="3175" r="635" b="3810"/>
                      <wp:wrapNone/>
                      <wp:docPr id="4" name="Прямая соедините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6040" cy="72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6.9pt,24.4pt" to="141.55pt,24.4pt" ID="Прямая соединительная линия 1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behindDoc="0" distT="0" distB="635" distL="3810" distR="3175" simplePos="0" locked="0" layoutInCell="1" allowOverlap="1" relativeHeight="3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51435</wp:posOffset>
                      </wp:positionV>
                      <wp:extent cx="635" cy="1704975"/>
                      <wp:effectExtent l="3810" t="0" r="3175" b="635"/>
                      <wp:wrapNone/>
                      <wp:docPr id="5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70496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1.85pt,4.05pt" to="91.85pt,138.25pt" ID="Прямая соединительная линия 3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4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60325</wp:posOffset>
                      </wp:positionV>
                      <wp:extent cx="0" cy="1457325"/>
                      <wp:effectExtent l="635" t="635" r="635" b="635"/>
                      <wp:wrapNone/>
                      <wp:docPr id="6" name="Вертика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4572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4.2pt,4.75pt" to="44.2pt,119.45pt" ID="Вертикальная линия 1" stroked="t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32,0              32,0               32,0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94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плакатов, шт.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71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5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памяток, шт.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71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44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календарей домиком, шт.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71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Издание информационных материалов по профилактике экстремизма, формированию позитивных жизненных ценностей в молодёжной среде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буклеты, шт.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mc:AlternateContent>
                <mc:Choice Requires="wps">
                  <w:drawing>
                    <wp:anchor behindDoc="0" distT="3175" distB="3810" distL="0" distR="635" simplePos="0" locked="0" layoutInCell="1" allowOverlap="1" relativeHeight="5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309880</wp:posOffset>
                      </wp:positionV>
                      <wp:extent cx="1885950" cy="635"/>
                      <wp:effectExtent l="0" t="3175" r="635" b="3810"/>
                      <wp:wrapNone/>
                      <wp:docPr id="7" name="Прямая соединительная линия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6040" cy="72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6.9pt,24.4pt" to="141.55pt,24.4pt" ID="Прямая соединительная линия 2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behindDoc="0" distT="0" distB="635" distL="3810" distR="3175" simplePos="0" locked="0" layoutInCell="1" allowOverlap="1" relativeHeight="6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51435</wp:posOffset>
                      </wp:positionV>
                      <wp:extent cx="635" cy="1704975"/>
                      <wp:effectExtent l="3810" t="0" r="3175" b="635"/>
                      <wp:wrapNone/>
                      <wp:docPr id="8" name="Прямая соединительная линия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70496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1.85pt,4.05pt" to="91.85pt,138.25pt" ID="Прямая соединительная линия 4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7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60325</wp:posOffset>
                      </wp:positionV>
                      <wp:extent cx="0" cy="1457325"/>
                      <wp:effectExtent l="635" t="635" r="635" b="635"/>
                      <wp:wrapNone/>
                      <wp:docPr id="9" name="Вертикальная линия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4572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4.2pt,4.75pt" to="44.2pt,119.45pt" ID="Вертикальная линия 2" stroked="t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20,0              20,0               20,0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8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558800</wp:posOffset>
                      </wp:positionV>
                      <wp:extent cx="634365" cy="635"/>
                      <wp:effectExtent l="635" t="635" r="635" b="635"/>
                      <wp:wrapNone/>
                      <wp:docPr id="10" name="Горизонта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2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7.2pt,44pt" to="117.1pt,44pt" ID="Горизонтальная линия 1" stroked="t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>
          <w:trHeight w:val="28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Привлечение квалифицированных лекторов-пропагандистов для информационно-разъяснительной работы с населением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лекций/выступлений, проведённых привлеченными лекторами,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8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Подготовка муниципального актива лекторов-пропагандистов для информационно-разъяснительной работы с населением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лекторов из числа жителей муниципального образования, чел.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8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культурных и спортивных мероприятий, посвящённых Дню солидарности в борьбе с терроризмом (3 сентября)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17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месячника по профилактике экстремизма и терроризма «Экстремизму – Нет»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комитета, сектор гражданской обороны и защиты населения Исполнительного комитета, помощник Мэра по противодействию коррупции (по согласованию)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сентябрь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823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совещаний с председателями территориальных общественных самоуправлений по вопросам поддержания бдительности и участия в профилактике терроризма и экстремизма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ежемесячно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Разработка (подбор) и размещение информации антитеррористического содержания, в том числе видеороликов в муниципальном сегменте социальных сетей, иных информационных ресурсах сети «Интернет» муниципального образования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информационной политики и по связям с общественностью Исполнительного комитета, сектор гражданской обороны и защиты </w:t>
            </w:r>
            <w:bookmarkStart w:id="0" w:name="_GoBack"/>
            <w:bookmarkEnd w:id="0"/>
            <w:r>
              <w:rPr>
                <w:rFonts w:eastAsia="Calibri"/>
                <w:sz w:val="21"/>
                <w:szCs w:val="21"/>
                <w:lang w:eastAsia="en-US"/>
              </w:rPr>
              <w:t>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размещённых материалов,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Публикация в средствах массовой информации тематических проповедей представителей официальных религиозных конфессий, направленных на единение сограждан в деле противодействия терроризму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публикаций,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Привлечение национальных диаспор: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к проведению работы, направленной на предупреждение террористической и экстремистской деятельности;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к организации и проведению совместных мероприятий, направленных на укрепление межэтнических и межконфессиональных отношений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культуры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МАУК «Дом дружбы народов «Родник»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кейс-чемпионатов, квестов, круглых столов, встреч, фестивалей, конкурсов и акций среди молодёжи на темы профилактики терроризма и экстремизма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603" w:hRule="atLeast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конкурса исследовательских работ и проектов (акций и мероприятий) среди студентов профессиональных образовательных организаций, организаций высшего образования города Набережные Челны по проблемам противодействия терроризму и экстремизму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МАУ «Молодёжный центр «Нур»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 годы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награждаемых (финансирование подарков), чел.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>
        <w:trPr>
          <w:trHeight w:val="2415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конкурса на лучшую творческую работу «Мы за дружбу народов! Мы против насилия!»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МАУДО «Детская художественная школа № 2»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124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занятий в формате «Университет для родителей», направленных на повышение уровня знаний в вопросах воспитания, взаимопонимания, межнациональной солидарности, медиабезопасности детей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родителей, охваченных профилактическими занятиями, в общем количестве семей,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мероприятий по профилактике экстремизма, формированию межэтнического и межконфессионального согласия, толерантности среди детей и молодёжи, родителей и специалистов, работающих с молодёжью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в образовательных организациях занятий по разъяснению основ законодательства в сфере межнациональных и межконфессиональных отношений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в образовательных организациях мероприятий, направленных на активные формы участия обучающихся (ролевые игры, конкурсы и др.) с целью формирования и укрепления потребности жить в условиях межэтнического и межрелигиозного согласия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среди обучающихся образовательных организаций классных часов, направленных на развитие у обучающихся толерантности в межнациональных и межконфессиональных отношениях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в молодёжных форумах, посвященных вопросам профилактики терроризма и экстремизма, организованных на республиканском и федеральном уровнях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комитета, муниципальное бюджетное учреждение "Центр молодежных (студенческих) формирований по охране общественного порядка "ФОРПОСТ"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Обеспечение проведения тематического семинара в рамках работы методического объединения специалистов молодёжной политики по организации работы в сфере профилактики экстремизма и формирования толерантности в подростковой молодёжной среде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96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Обеспечение проведения опроса, направленного на определение уровня сформированности межэтнического и межконфессионального согласия с привлечением педагогов-психологов образовательных организаций высшего и профессионального образования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966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39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/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Обеспечение  формирования и функционирования электронного каталога антитеррористических материалов</w:t>
            </w:r>
            <w:r>
              <w:fldChar w:fldCharType="begin"/>
            </w:r>
            <w:r>
              <w:rPr>
                <w:rStyle w:val="ListLabel1"/>
                <w:sz w:val="21"/>
                <w:szCs w:val="21"/>
                <w:rFonts w:eastAsia="Calibri"/>
                <w:color w:val="000000"/>
                <w:lang w:eastAsia="en-US"/>
              </w:rPr>
              <w:instrText xml:space="preserve"> HYPERLINK "https://www.garant.ru/products/ipo/prime/doc/408366785/" \l "10222"</w:instrText>
            </w:r>
            <w:r>
              <w:rPr>
                <w:rStyle w:val="ListLabel1"/>
                <w:sz w:val="21"/>
                <w:szCs w:val="21"/>
                <w:rFonts w:eastAsia="Calibri"/>
                <w:color w:val="000000"/>
                <w:lang w:eastAsia="en-US"/>
              </w:rPr>
              <w:fldChar w:fldCharType="separate"/>
            </w:r>
            <w:r>
              <w:rPr>
                <w:rStyle w:val="ListLabel1"/>
                <w:rFonts w:eastAsia="Calibri"/>
                <w:color w:val="000000"/>
                <w:sz w:val="21"/>
                <w:szCs w:val="21"/>
                <w:lang w:eastAsia="en-US"/>
              </w:rPr>
              <w:t xml:space="preserve"> (текстовых, графических, аудио и видео) с предоставлением к нему свободного доступа, прежде всего для использования при проведении общепрофилактических, адресных, индивидуальных и информационно-пропагандистских мероприятий.</w:t>
            </w:r>
            <w:r>
              <w:rPr>
                <w:rStyle w:val="ListLabel1"/>
                <w:sz w:val="21"/>
                <w:szCs w:val="21"/>
                <w:rFonts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/>
              <w:t>Помощник Мэра по противодействию коррупции (по согласованию),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 с общественностью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количество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/>
        <w:tc>
          <w:tcPr>
            <w:tcW w:w="163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3. Проведение мероприятий по повышению антитеррористической защищенности образовательных организаций и мест массового пребывания людей</w:t>
            </w:r>
          </w:p>
        </w:tc>
      </w:tr>
      <w:tr>
        <w:trPr>
          <w:trHeight w:val="345" w:hRule="atLeast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40.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общеобразовательных организациях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общеобразовательных организаций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>
        <w:trPr>
          <w:trHeight w:val="1950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60 136,13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61 041,00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69 615,80</w:t>
            </w:r>
          </w:p>
        </w:tc>
      </w:tr>
      <w:tr>
        <w:trPr>
          <w:trHeight w:val="360" w:hRule="atLeast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41.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дошкольных образовательных организаций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>
        <w:trPr>
          <w:trHeight w:val="1935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84 915,11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84 262,83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90 000,10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дополнительного образования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общеобразовательных организаций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12 006,34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13 725,19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16 054,90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молодежи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молодежных организаций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608,30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612,50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культуры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   </w:t>
            </w:r>
            <w:r>
              <w:rPr>
                <w:rFonts w:eastAsia="Calibri"/>
                <w:sz w:val="21"/>
                <w:szCs w:val="21"/>
                <w:lang w:eastAsia="en-US"/>
              </w:rPr>
              <w:t>Управление культуры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учреждений культуры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9 266,42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11 070,92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11 966,55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физической культуры и спорта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учреждений физической культуры и спорта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12 520,94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12 881,78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13 246,36</w:t>
            </w:r>
          </w:p>
        </w:tc>
      </w:tr>
      <w:tr>
        <w:trPr>
          <w:trHeight w:val="69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eastAsia="Calibri"/>
                <w:b w:val="false"/>
                <w:sz w:val="21"/>
                <w:szCs w:val="21"/>
                <w:lang w:eastAsia="en-US"/>
              </w:rPr>
            </w:pP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>Актуализация реестра мест с массовым пребыванием людей в соответствии с постановлением Правительства Российской Федерации от 25.03.2015</w:t>
            </w:r>
          </w:p>
          <w:p>
            <w:pPr>
              <w:pStyle w:val="Heading1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b w:val="false"/>
                <w:color w:val="22272F"/>
                <w:sz w:val="21"/>
                <w:szCs w:val="21"/>
                <w:lang w:eastAsia="en-US"/>
              </w:rPr>
            </w:pP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 xml:space="preserve">№ </w:t>
            </w: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 xml:space="preserve">272 </w:t>
            </w:r>
            <w:r>
              <w:rPr>
                <w:b w:val="false"/>
                <w:sz w:val="21"/>
                <w:szCs w:val="21"/>
                <w:lang w:eastAsia="en-US"/>
              </w:rPr>
              <w:t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 (далее – Постановление от 25.03.2015 № 272)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Комиссионные обследования мест массового пребывания людей на предмет профилактики и предупреждения террористических актов, антитеррористической защищённости в соответствии с Постановлением от 25.03.2015 № 272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(при необходимости)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48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/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Проведение мероприятий, посвященных  Дню защитника Отечества (23 февраля), Дню Героев Отечества (9 декабря), с освещением их в средствах массовой информации и информационно-телекоммуникационной сети "Интернет".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администрации районов,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49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Обеспечение изучения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культуры Исполнительного комитета, 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/>
        <w:tc>
          <w:tcPr>
            <w:tcW w:w="12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Итого: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</w:r>
          </w:p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  <w:t>180 043,24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</w:r>
          </w:p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  <w:t>184 380,02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</w:r>
          </w:p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  <w:t>202 086,21</w:t>
            </w:r>
          </w:p>
        </w:tc>
      </w:tr>
    </w:tbl>
    <w:p>
      <w:pPr>
        <w:pStyle w:val="Normal"/>
        <w:widowControl/>
        <w:tabs>
          <w:tab w:val="clear" w:pos="708"/>
          <w:tab w:val="left" w:pos="9923" w:leader="none"/>
        </w:tabs>
        <w:ind w:hanging="0" w:left="0" w:righ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widowControl/>
        <w:tabs>
          <w:tab w:val="clear" w:pos="708"/>
          <w:tab w:val="left" w:pos="9923" w:leader="none"/>
        </w:tabs>
        <w:ind w:hanging="0" w:left="0" w:righ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widowControl/>
        <w:tabs>
          <w:tab w:val="clear" w:pos="708"/>
          <w:tab w:val="left" w:pos="9923" w:leader="none"/>
        </w:tabs>
        <w:ind w:hanging="0" w:left="0" w:righ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Заместитель Руководителя Аппарата,</w:t>
      </w:r>
    </w:p>
    <w:p>
      <w:pPr>
        <w:pStyle w:val="Normal"/>
        <w:widowControl/>
        <w:tabs>
          <w:tab w:val="clear" w:pos="708"/>
          <w:tab w:val="left" w:pos="9923" w:leader="none"/>
        </w:tabs>
        <w:ind w:hanging="0" w:left="0" w:righ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начальник управления делопроизводством</w:t>
      </w:r>
    </w:p>
    <w:p>
      <w:pPr>
        <w:pStyle w:val="Normal"/>
        <w:widowControl/>
        <w:tabs>
          <w:tab w:val="clear" w:pos="708"/>
          <w:tab w:val="left" w:pos="9923" w:leader="none"/>
        </w:tabs>
        <w:ind w:hanging="0" w:left="0" w:right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4"/>
          <w:szCs w:val="24"/>
          <w:lang w:eastAsia="en-US"/>
        </w:rPr>
        <w:t>Исполнительного комитета</w:t>
        <w:tab/>
        <w:tab/>
        <w:tab/>
        <w:tab/>
        <w:t xml:space="preserve"> </w:t>
        <w:tab/>
        <w:t xml:space="preserve">   Н.И. Галиева</w:t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ind w:hanging="0" w:left="0" w:right="5245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link w:val="1"/>
    <w:qFormat/>
    <w:pPr>
      <w:widowControl/>
      <w:spacing w:before="280" w:after="280"/>
      <w:ind w:hanging="0" w:left="0" w:right="0"/>
      <w:outlineLvl w:val="0"/>
    </w:pPr>
    <w:rPr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Style13">
    <w:name w:val="Текст выноски Знак"/>
    <w:basedOn w:val="DefaultParagraphFont"/>
    <w:link w:val="BalloonTex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qFormat/>
    <w:pPr/>
    <w:rPr>
      <w:rFonts w:ascii="Segoe UI" w:hAnsi="Segoe UI" w:cs="Segoe UI"/>
      <w:sz w:val="18"/>
      <w:szCs w:val="18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Application>LibreOffice/7.6.7.2$Linux_X86_64 LibreOffice_project/60$Build-2</Application>
  <AppVersion>15.0000</AppVersion>
  <Pages>17</Pages>
  <Words>3154</Words>
  <Characters>23489</Characters>
  <CharactersWithSpaces>26803</CharactersWithSpaces>
  <Paragraphs>636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2023-02-03T07:45:00Z</dcterms:created>
  <dc:creator>Айдар Ибрагимов Бариевич</dc:creator>
  <dc:description/>
  <dc:language>ru-RU</dc:language>
  <cp:lastModifiedBy/>
  <cp:lastPrinted>2023-03-06T08:10:00Z</cp:lastPrinted>
  <dcterms:modified xsi:type="dcterms:W3CDTF">2025-03-28T08:38:58Z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