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</w:t>
      </w:r>
      <w:r>
        <w:rPr>
          <w:sz w:val="28"/>
          <w:szCs w:val="28"/>
        </w:rPr>
      </w:r>
    </w:p>
    <w:p>
      <w:pPr>
        <w:pStyle w:val="650"/>
        <w:pBdr/>
        <w:spacing/>
        <w:ind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</w:r>
    </w:p>
    <w:p>
      <w:pPr>
        <w:pStyle w:val="650"/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РЕШЕНИЕ</w:t>
      </w:r>
      <w:r>
        <w:rPr>
          <w:b/>
          <w:sz w:val="28"/>
          <w:szCs w:val="28"/>
        </w:rPr>
      </w:r>
    </w:p>
    <w:p>
      <w:pPr>
        <w:pStyle w:val="650"/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</w:r>
    </w:p>
    <w:p>
      <w:pPr>
        <w:pStyle w:val="650"/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КАРАР</w:t>
      </w:r>
      <w:r>
        <w:rPr>
          <w:b/>
          <w:sz w:val="28"/>
          <w:szCs w:val="28"/>
        </w:rPr>
      </w:r>
    </w:p>
    <w:p>
      <w:pPr>
        <w:pStyle w:val="650"/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</w:r>
    </w:p>
    <w:p>
      <w:pPr>
        <w:pStyle w:val="650"/>
        <w:pBdr/>
        <w:tabs>
          <w:tab w:val="left" w:leader="none" w:pos="8520"/>
        </w:tabs>
        <w:spacing/>
        <w: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передаче  муниципального имущества, находящегося  на балансе </w:t>
      </w:r>
      <w:r>
        <w:rPr>
          <w:b/>
          <w:sz w:val="28"/>
          <w:szCs w:val="28"/>
        </w:rPr>
        <w:t xml:space="preserve">Исполнительного комитета города Лаишево </w:t>
      </w:r>
      <w:r>
        <w:rPr>
          <w:b/>
          <w:sz w:val="28"/>
          <w:szCs w:val="28"/>
        </w:rPr>
        <w:t xml:space="preserve">Лаишевского муниципального района</w:t>
      </w:r>
      <w:r>
        <w:rPr>
          <w:b/>
          <w:sz w:val="28"/>
          <w:szCs w:val="28"/>
        </w:rPr>
        <w:t xml:space="preserve"> Республики Татарстан</w:t>
      </w:r>
      <w:r>
        <w:rPr>
          <w:b/>
          <w:sz w:val="28"/>
          <w:szCs w:val="28"/>
        </w:rPr>
        <w:t xml:space="preserve">, в безвозмездное  пользование </w:t>
      </w:r>
      <w:r>
        <w:rPr>
          <w:b/>
          <w:sz w:val="28"/>
          <w:szCs w:val="28"/>
        </w:rPr>
        <w:t xml:space="preserve">Межрегиональному филиалу Федерального казенного учреждения «Центр по обеспечению деятельности Казначейства России»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0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 от 06.10.2003№ 131-ФЗ «Об общих принципах организации местного самоуправления  в Российской Федерации», Законом Республики Татарстан от 28.07.2004 № 45-З</w:t>
      </w:r>
      <w:r>
        <w:rPr>
          <w:sz w:val="28"/>
          <w:szCs w:val="28"/>
        </w:rPr>
        <w:t xml:space="preserve">РТ «О местном самоуправлении в Республике Татарстан», Положением об управлении и распоряжении муниципальным имуществом Лаишевского муниципального района, утвержденным решением Совета района от 23.07.2010 № 24, Совет Лаишевского муниципального района РЕШИЛ:</w:t>
      </w:r>
      <w:r>
        <w:rPr>
          <w:sz w:val="28"/>
          <w:szCs w:val="28"/>
        </w:rPr>
      </w:r>
    </w:p>
    <w:p>
      <w:pPr>
        <w:pStyle w:val="650"/>
        <w:pBdr/>
        <w:tabs>
          <w:tab w:val="left" w:leader="none" w:pos="8250"/>
          <w:tab w:val="left" w:leader="none" w:pos="8775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</w:r>
      <w:r>
        <w:rPr>
          <w:sz w:val="28"/>
          <w:szCs w:val="28"/>
        </w:rPr>
      </w:r>
    </w:p>
    <w:p>
      <w:pPr>
        <w:pStyle w:val="650"/>
        <w:numPr>
          <w:ilvl w:val="0"/>
          <w:numId w:val="17"/>
        </w:numPr>
        <w:pBdr/>
        <w:spacing/>
        <w:ind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Передать в безвозмездное пользование </w:t>
      </w:r>
      <w:r>
        <w:rPr>
          <w:sz w:val="28"/>
          <w:szCs w:val="28"/>
        </w:rPr>
        <w:t xml:space="preserve">Межрегиональному филиалу Федерального казенного учреждения «Центр по обеспечению деятельности Казначейства России»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г. Казани</w:t>
      </w:r>
      <w:r>
        <w:rPr>
          <w:sz w:val="28"/>
          <w:szCs w:val="28"/>
        </w:rPr>
        <w:t xml:space="preserve"> (далее - Учреждение) помещение  площадью </w:t>
      </w:r>
      <w:r>
        <w:rPr>
          <w:sz w:val="28"/>
          <w:szCs w:val="28"/>
        </w:rPr>
        <w:t xml:space="preserve">126,4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 м,  расположенное по адресу: РТ, Лаишевский муниципальный район, г. Лаишево, ул. </w:t>
      </w:r>
      <w:r>
        <w:rPr>
          <w:sz w:val="28"/>
          <w:szCs w:val="28"/>
        </w:rPr>
        <w:t xml:space="preserve">Ленина</w:t>
      </w:r>
      <w:r>
        <w:rPr>
          <w:sz w:val="28"/>
          <w:szCs w:val="28"/>
        </w:rPr>
        <w:t xml:space="preserve">, д.5</w:t>
      </w:r>
      <w:r>
        <w:rPr>
          <w:sz w:val="28"/>
          <w:szCs w:val="28"/>
        </w:rPr>
        <w:t xml:space="preserve">6б</w:t>
      </w:r>
      <w:r>
        <w:rPr>
          <w:sz w:val="28"/>
          <w:szCs w:val="28"/>
        </w:rPr>
        <w:t xml:space="preserve"> (согласно приложению)  к настоящему решению, сроком на пять лет.             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50"/>
        <w:numPr>
          <w:ilvl w:val="0"/>
          <w:numId w:val="17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Учреждению в месячный срок  заключить  договор безвозмездного пользования  на Имущество с Исполнительным  комитетом </w:t>
      </w:r>
      <w:r>
        <w:rPr>
          <w:sz w:val="28"/>
          <w:szCs w:val="28"/>
        </w:rPr>
        <w:t xml:space="preserve">города Лаишево </w:t>
      </w:r>
      <w:r>
        <w:rPr>
          <w:sz w:val="28"/>
          <w:szCs w:val="28"/>
        </w:rPr>
        <w:t xml:space="preserve">Лаишевского муниципального района </w:t>
      </w:r>
      <w:r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 xml:space="preserve">и представить его на согласование в Палату имущественных и земельных отношений  Лаишевского муниципального района.</w:t>
      </w:r>
      <w:r>
        <w:rPr>
          <w:sz w:val="28"/>
          <w:szCs w:val="28"/>
        </w:rPr>
      </w:r>
    </w:p>
    <w:p>
      <w:pPr>
        <w:pStyle w:val="650"/>
        <w:numPr>
          <w:ilvl w:val="0"/>
          <w:numId w:val="17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 за  исполнением   настоящего   решения    возложить   на комиссию по законности, правопорядку и взаимодействию с органами местного самоуправления  Совета района.</w:t>
      </w:r>
      <w:r>
        <w:rPr>
          <w:sz w:val="28"/>
          <w:szCs w:val="28"/>
        </w:rPr>
      </w:r>
    </w:p>
    <w:p>
      <w:pPr>
        <w:pStyle w:val="650"/>
        <w:pBdr/>
        <w:spacing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Глава-председатель Совета  </w:t>
      </w:r>
      <w:r>
        <w:rPr>
          <w:b/>
          <w:sz w:val="28"/>
          <w:szCs w:val="28"/>
        </w:rPr>
      </w:r>
    </w:p>
    <w:p>
      <w:pPr>
        <w:pStyle w:val="650"/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</w:t>
        <w:tab/>
        <w:tab/>
        <w:tab/>
        <w:tab/>
        <w:t xml:space="preserve">            </w:t>
        <w:tab/>
        <w:t xml:space="preserve">    И.Ф.Зарипов</w:t>
      </w:r>
      <w:r>
        <w:rPr>
          <w:b/>
          <w:sz w:val="28"/>
          <w:szCs w:val="28"/>
        </w:rPr>
      </w:r>
    </w:p>
    <w:p>
      <w:pPr>
        <w:pStyle w:val="650"/>
        <w:pBdr/>
        <w:spacing/>
        <w:ind/>
        <w:rPr/>
      </w:pPr>
      <w:r/>
      <w:r/>
    </w:p>
    <w:p>
      <w:pPr>
        <w:pStyle w:val="650"/>
        <w:pBdr/>
        <w:spacing/>
        <w:ind/>
        <w:rPr/>
      </w:pPr>
      <w:r/>
      <w:r/>
    </w:p>
    <w:p>
      <w:pPr>
        <w:pStyle w:val="650"/>
        <w:pBdr/>
        <w:spacing/>
        <w:ind/>
        <w:rPr/>
      </w:pPr>
      <w:r/>
      <w:r/>
    </w:p>
    <w:p>
      <w:pPr>
        <w:pStyle w:val="650"/>
        <w:pBdr/>
        <w:spacing/>
        <w:ind/>
        <w:rPr/>
      </w:pPr>
      <w:r/>
      <w:r/>
    </w:p>
    <w:p>
      <w:pPr>
        <w:pStyle w:val="650"/>
        <w:pBdr/>
        <w:spacing/>
        <w:ind/>
        <w:rPr/>
      </w:pPr>
      <w:r/>
      <w:r/>
    </w:p>
    <w:p>
      <w:pPr>
        <w:pStyle w:val="650"/>
        <w:pBdr/>
        <w:tabs>
          <w:tab w:val="left" w:leader="none" w:pos="3285"/>
        </w:tabs>
        <w:spacing/>
        <w:ind/>
        <w:rPr/>
      </w:pPr>
      <w:r>
        <w:tab/>
      </w:r>
      <w:r/>
    </w:p>
    <w:p>
      <w:pPr>
        <w:pStyle w:val="650"/>
        <w:pBdr/>
        <w:spacing/>
        <w:ind/>
        <w:rPr/>
      </w:pPr>
      <w:r/>
      <w:r/>
    </w:p>
    <w:p>
      <w:pPr>
        <w:pStyle w:val="650"/>
        <w:pBdr/>
        <w:spacing/>
        <w:ind/>
        <w:rPr/>
      </w:pPr>
      <w:r/>
      <w:r/>
    </w:p>
    <w:p>
      <w:pPr>
        <w:pStyle w:val="650"/>
        <w:pBdr/>
        <w:spacing/>
        <w:ind/>
        <w:rPr/>
      </w:pPr>
      <w:r/>
      <w:r/>
    </w:p>
    <w:p>
      <w:pPr>
        <w:pStyle w:val="650"/>
        <w:pBdr/>
        <w:spacing/>
        <w:ind/>
        <w:rPr/>
      </w:pPr>
      <w:r/>
      <w:r/>
    </w:p>
    <w:p>
      <w:pPr>
        <w:pStyle w:val="650"/>
        <w:pBdr/>
        <w:spacing/>
        <w:ind/>
        <w:rPr/>
      </w:pPr>
      <w:r/>
      <w:r/>
    </w:p>
    <w:p>
      <w:pPr>
        <w:pStyle w:val="650"/>
        <w:pBdr/>
        <w:tabs>
          <w:tab w:val="left" w:leader="none" w:pos="3285"/>
        </w:tabs>
        <w:spacing/>
        <w:ind/>
        <w:rPr/>
      </w:pPr>
      <w:r>
        <w:tab/>
      </w:r>
      <w:r/>
    </w:p>
    <w:p>
      <w:pPr>
        <w:pStyle w:val="650"/>
        <w:pBdr/>
        <w:spacing/>
        <w:ind/>
        <w:rPr/>
      </w:pPr>
      <w:r/>
      <w:r/>
    </w:p>
    <w:p>
      <w:pPr>
        <w:pStyle w:val="650"/>
        <w:pBdr/>
        <w:spacing/>
        <w:ind/>
        <w:rPr/>
        <w:sectPr>
          <w:footnotePr/>
          <w:endnotePr/>
          <w:type w:val="nextPage"/>
          <w:pgSz w:h="16840" w:orient="landscape" w:w="11907"/>
          <w:pgMar w:top="567" w:right="851" w:bottom="567" w:left="1276" w:header="720" w:footer="393" w:gutter="0"/>
          <w:cols w:num="1" w:sep="0" w:space="720" w:equalWidth="1"/>
        </w:sectPr>
      </w:pPr>
      <w:r/>
      <w:r/>
    </w:p>
    <w:p>
      <w:pPr>
        <w:pStyle w:val="650"/>
        <w:pBdr/>
        <w:tabs>
          <w:tab w:val="left" w:leader="none" w:pos="9638"/>
        </w:tabs>
        <w:spacing/>
        <w:ind/>
        <w:jc w:val="right"/>
        <w:rPr>
          <w:sz w:val="36"/>
          <w:szCs w:val="36"/>
        </w:rPr>
      </w:pPr>
      <w:r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36"/>
          <w:szCs w:val="36"/>
        </w:rPr>
      </w:r>
    </w:p>
    <w:p>
      <w:pPr>
        <w:pStyle w:val="650"/>
        <w:pBdr/>
        <w:tabs>
          <w:tab w:val="left" w:leader="none" w:pos="9638"/>
        </w:tabs>
        <w:spacing/>
        <w:ind/>
        <w:jc w:val="right"/>
        <w:rPr>
          <w:sz w:val="36"/>
          <w:szCs w:val="36"/>
        </w:rPr>
      </w:pPr>
      <w:r>
        <w:rPr>
          <w:sz w:val="24"/>
          <w:szCs w:val="24"/>
        </w:rPr>
        <w:t xml:space="preserve">к решению Совета Лаишевского</w:t>
      </w:r>
      <w:r>
        <w:rPr>
          <w:sz w:val="36"/>
          <w:szCs w:val="36"/>
        </w:rPr>
      </w:r>
    </w:p>
    <w:p>
      <w:pPr>
        <w:pStyle w:val="650"/>
        <w:pBdr/>
        <w:tabs>
          <w:tab w:val="left" w:leader="none" w:pos="9638"/>
        </w:tabs>
        <w:spacing/>
        <w:ind/>
        <w:jc w:val="right"/>
        <w:rPr>
          <w:sz w:val="36"/>
          <w:szCs w:val="3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муниципального района</w:t>
      </w:r>
      <w:r>
        <w:rPr>
          <w:sz w:val="36"/>
          <w:szCs w:val="36"/>
        </w:rPr>
      </w:r>
    </w:p>
    <w:p>
      <w:pPr>
        <w:pStyle w:val="650"/>
        <w:pBdr/>
        <w:tabs>
          <w:tab w:val="left" w:leader="none" w:pos="9638"/>
        </w:tabs>
        <w:spacing/>
        <w:ind/>
        <w:jc w:val="right"/>
        <w:rPr>
          <w:sz w:val="36"/>
          <w:szCs w:val="36"/>
        </w:rPr>
      </w:pPr>
      <w:r>
        <w:rPr>
          <w:sz w:val="24"/>
          <w:szCs w:val="24"/>
        </w:rPr>
        <w:t xml:space="preserve">от___________20</w:t>
      </w:r>
      <w:r>
        <w:rPr>
          <w:sz w:val="24"/>
          <w:szCs w:val="24"/>
        </w:rPr>
        <w:t xml:space="preserve">25 </w:t>
      </w:r>
      <w:r>
        <w:rPr>
          <w:sz w:val="24"/>
          <w:szCs w:val="24"/>
        </w:rPr>
        <w:t xml:space="preserve"> г. №_______</w:t>
      </w:r>
      <w:r>
        <w:rPr>
          <w:sz w:val="36"/>
          <w:szCs w:val="36"/>
        </w:rPr>
      </w:r>
    </w:p>
    <w:p>
      <w:pPr>
        <w:pStyle w:val="650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sz w:val="24"/>
          <w:szCs w:val="24"/>
        </w:rPr>
      </w:r>
    </w:p>
    <w:p>
      <w:pPr>
        <w:pStyle w:val="656"/>
        <w:widowControl w:val="true"/>
        <w:pBdr/>
        <w:tabs>
          <w:tab w:val="left" w:leader="none" w:pos="1245"/>
          <w:tab w:val="center" w:leader="none" w:pos="7853"/>
        </w:tabs>
        <w:spacing w:after="120" w:before="480"/>
        <w:ind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ab/>
        <w:tab/>
      </w:r>
      <w:r>
        <w:rPr>
          <w:rFonts w:ascii="Times New Roman" w:hAnsi="Times New Roman"/>
          <w:bCs/>
          <w:sz w:val="24"/>
          <w:szCs w:val="24"/>
        </w:rPr>
        <w:t xml:space="preserve">Перечень</w:t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656"/>
        <w:widowControl w:val="true"/>
        <w:pBdr/>
        <w:spacing/>
        <w:ind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муниципального имущества, передаваемого в безвозмездное пользование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656"/>
        <w:widowControl w:val="true"/>
        <w:pBdr/>
        <w:spacing/>
        <w:ind/>
        <w:jc w:val="center"/>
        <w:rPr>
          <w:rFonts w:ascii="Liberation Serif" w:hAnsi="Liberation Serif" w:cs="Liberation Serif"/>
          <w:b w:val="0"/>
          <w:bCs w:val="0"/>
          <w:sz w:val="20"/>
          <w:szCs w:val="20"/>
        </w:rPr>
      </w:pPr>
      <w:r>
        <w:rPr>
          <w:rFonts w:ascii="Liberation Serif" w:hAnsi="Liberation Serif" w:eastAsia="Liberation Serif" w:cs="Liberation Serif"/>
          <w:b w:val="0"/>
          <w:bCs w:val="0"/>
          <w:sz w:val="22"/>
          <w:szCs w:val="22"/>
        </w:rPr>
      </w:r>
      <w:r>
        <w:rPr>
          <w:rFonts w:ascii="Liberation Serif" w:hAnsi="Liberation Serif" w:eastAsia="Liberation Serif" w:cs="Liberation Serif"/>
          <w:b w:val="0"/>
          <w:bCs w:val="0"/>
          <w:sz w:val="24"/>
          <w:szCs w:val="24"/>
        </w:rPr>
        <w:t xml:space="preserve">Межрегиональному филиалу Федерального казенного учреждения «Центр по обеспечению деятельности Казначейства России»</w:t>
      </w:r>
      <w:r>
        <w:rPr>
          <w:rFonts w:ascii="Liberation Serif" w:hAnsi="Liberation Serif" w:eastAsia="Liberation Serif" w:cs="Liberation Serif"/>
          <w:b w:val="0"/>
          <w:bCs w:val="0"/>
          <w:sz w:val="22"/>
          <w:szCs w:val="22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sz w:val="22"/>
          <w:szCs w:val="22"/>
        </w:rPr>
      </w:r>
      <w:r>
        <w:rPr>
          <w:rFonts w:ascii="Liberation Serif" w:hAnsi="Liberation Serif" w:cs="Liberation Serif"/>
          <w:b w:val="0"/>
          <w:bCs w:val="0"/>
          <w:sz w:val="20"/>
          <w:szCs w:val="20"/>
        </w:rPr>
      </w:r>
    </w:p>
    <w:p>
      <w:pPr>
        <w:pStyle w:val="656"/>
        <w:widowControl w:val="true"/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</w:r>
    </w:p>
    <w:tbl>
      <w:tblPr>
        <w:tblW w:w="15156" w:type="dxa"/>
        <w:tblInd w:w="8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80"/>
        <w:gridCol w:w="1260"/>
        <w:gridCol w:w="2926"/>
        <w:gridCol w:w="2340"/>
        <w:gridCol w:w="694"/>
        <w:gridCol w:w="760"/>
        <w:gridCol w:w="880"/>
        <w:gridCol w:w="886"/>
        <w:gridCol w:w="1000"/>
        <w:gridCol w:w="921"/>
        <w:gridCol w:w="567"/>
        <w:gridCol w:w="992"/>
        <w:gridCol w:w="850"/>
      </w:tblGrid>
      <w:tr>
        <w:trPr>
          <w:cantSplit/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N</w:t>
            </w:r>
            <w:r>
              <w:rPr>
                <w:rFonts w:ascii="Times New Roman" w:hAnsi="Times New Roman"/>
              </w:rPr>
              <w:t xml:space="preserve"> п/п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vMerge w:val="restart"/>
            <w:textDirection w:val="btLr"/>
            <w:noWrap w:val="false"/>
          </w:tcPr>
          <w:p>
            <w:pPr>
              <w:pStyle w:val="656"/>
              <w:widowControl w:val="true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Инвентарный и кадастровый номер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6" w:type="dxa"/>
            <w:vAlign w:val="center"/>
            <w:vMerge w:val="restart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и характеристика объекта (этажность, материал постройки и пр.)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Align w:val="center"/>
            <w:vMerge w:val="restart"/>
            <w:textDirection w:val="btLr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Местонахождение (адрес)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0" w:type="dxa"/>
            <w:vAlign w:val="center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vMerge w:val="restart"/>
            <w:textDirection w:val="btLr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ввода (приобретения)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vMerge w:val="restart"/>
            <w:textDirection w:val="btLr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Первоначально-восстановительная стоимость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здания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тыс.</w:t>
            </w:r>
            <w:r>
              <w:rPr>
                <w:rFonts w:ascii="Times New Roman" w:hAnsi="Times New Roman"/>
              </w:rPr>
              <w:t xml:space="preserve">руб.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Износ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btLr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Остаточная стоимость, </w:t>
            </w:r>
            <w:r>
              <w:rPr>
                <w:rFonts w:ascii="Times New Roman" w:hAnsi="Times New Roman"/>
              </w:rPr>
            </w:r>
          </w:p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</w:t>
            </w:r>
            <w:r>
              <w:rPr>
                <w:rFonts w:ascii="Times New Roman" w:hAnsi="Times New Roman"/>
              </w:rPr>
              <w:t xml:space="preserve">руб.</w:t>
            </w:r>
            <w:r>
              <w:rPr>
                <w:rFonts w:ascii="Times New Roman" w:hAnsi="Times New Roman"/>
              </w:rPr>
            </w:r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6" w:type="dxa"/>
            <w:vAlign w:val="center"/>
            <w:vMerge w:val="continue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Align w:val="center"/>
            <w:vMerge w:val="continue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Align w:val="center"/>
            <w:vMerge w:val="restart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Шт. или пог.м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6" w:type="dxa"/>
            <w:vAlign w:val="center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Площадь, кв.м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vMerge w:val="continue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vMerge w:val="continue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%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Руб.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cantSplit/>
          <w:trHeight w:val="11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6" w:type="dxa"/>
            <w:vAlign w:val="center"/>
            <w:vMerge w:val="continue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Align w:val="center"/>
            <w:vMerge w:val="continue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Align w:val="center"/>
            <w:vMerge w:val="continue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по техническому паспорту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center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полезная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center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встроен.-пристр.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vMerge w:val="continue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vMerge w:val="continue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6" w:type="dxa"/>
            <w:vAlign w:val="center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Align w:val="center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Align w:val="center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center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center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56"/>
              <w:widowControl w:val="true"/>
              <w:pBdr/>
              <w:spacing/>
              <w:ind w:right="-57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16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0" w:type="dxa"/>
            </w:tcMar>
            <w:tcW w:w="1080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0" w:type="dxa"/>
            </w:tcMar>
            <w:tcW w:w="2926" w:type="dxa"/>
            <w:vAlign w:val="top"/>
            <w:textDirection w:val="lrTb"/>
            <w:noWrap/>
          </w:tcPr>
          <w:p>
            <w:pPr>
              <w:pStyle w:val="650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на первом этаже административного здания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0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Лаишево, ул. </w:t>
            </w:r>
            <w:r>
              <w:rPr>
                <w:sz w:val="24"/>
                <w:szCs w:val="24"/>
              </w:rPr>
              <w:t xml:space="preserve">Ленина</w:t>
            </w:r>
            <w:r>
              <w:rPr>
                <w:sz w:val="24"/>
                <w:szCs w:val="24"/>
              </w:rPr>
              <w:t xml:space="preserve">, д.5</w:t>
            </w:r>
            <w:r>
              <w:rPr>
                <w:sz w:val="24"/>
                <w:szCs w:val="24"/>
              </w:rPr>
              <w:t xml:space="preserve">6б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0" w:type="dxa"/>
            </w:tcMar>
            <w:tcW w:w="694" w:type="dxa"/>
            <w:vAlign w:val="top"/>
            <w:textDirection w:val="lrTb"/>
            <w:noWrap/>
          </w:tcPr>
          <w:p>
            <w:pPr>
              <w:pStyle w:val="650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0" w:type="dxa"/>
            </w:tcMar>
            <w:tcW w:w="760" w:type="dxa"/>
            <w:vAlign w:val="top"/>
            <w:textDirection w:val="lrTb"/>
            <w:noWrap/>
          </w:tcPr>
          <w:p>
            <w:pPr>
              <w:pStyle w:val="650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0" w:type="dxa"/>
            </w:tcMar>
            <w:tcW w:w="880" w:type="dxa"/>
            <w:vAlign w:val="top"/>
            <w:textDirection w:val="lrTb"/>
            <w:noWrap/>
          </w:tcPr>
          <w:p>
            <w:pPr>
              <w:pStyle w:val="650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0" w:type="dxa"/>
            </w:tcMar>
            <w:tcW w:w="886" w:type="dxa"/>
            <w:vAlign w:val="top"/>
            <w:textDirection w:val="lrTb"/>
            <w:noWrap/>
          </w:tcPr>
          <w:p>
            <w:pPr>
              <w:pStyle w:val="650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0" w:type="dxa"/>
            </w:tcMar>
            <w:tcW w:w="1000" w:type="dxa"/>
            <w:vAlign w:val="top"/>
            <w:textDirection w:val="lrTb"/>
            <w:noWrap/>
          </w:tcPr>
          <w:p>
            <w:pPr>
              <w:pStyle w:val="650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0" w:type="dxa"/>
            </w:tcMar>
            <w:tcW w:w="921" w:type="dxa"/>
            <w:vAlign w:val="top"/>
            <w:textDirection w:val="lrTb"/>
            <w:noWrap/>
          </w:tcPr>
          <w:p>
            <w:pPr>
              <w:pStyle w:val="650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0" w:type="dxa"/>
            </w:tcMar>
            <w:tcW w:w="567" w:type="dxa"/>
            <w:vAlign w:val="top"/>
            <w:textDirection w:val="lrTb"/>
            <w:noWrap/>
          </w:tcPr>
          <w:p>
            <w:pPr>
              <w:pStyle w:val="650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0" w:type="dxa"/>
            </w:tcMar>
            <w:tcW w:w="992" w:type="dxa"/>
            <w:vAlign w:val="top"/>
            <w:textDirection w:val="lrTb"/>
            <w:noWrap/>
          </w:tcPr>
          <w:p>
            <w:pPr>
              <w:pStyle w:val="650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0" w:type="dxa"/>
            </w:tcMar>
            <w:tcW w:w="850" w:type="dxa"/>
            <w:vAlign w:val="top"/>
            <w:textDirection w:val="lrTb"/>
            <w:noWrap/>
          </w:tcPr>
          <w:p>
            <w:pPr>
              <w:pStyle w:val="650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57"/>
        <w:widowControl w:val="true"/>
        <w:pBdr/>
        <w:tabs>
          <w:tab w:val="right" w:leader="none" w:pos="10206"/>
        </w:tabs>
        <w:spacing/>
        <w:ind w:firstLine="0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</w:r>
      <w:r>
        <w:rPr>
          <w:rFonts w:ascii="Times New Roman" w:hAnsi="Times New Roman"/>
          <w:i/>
          <w:iCs/>
          <w:sz w:val="20"/>
          <w:szCs w:val="20"/>
        </w:rPr>
      </w:r>
    </w:p>
    <w:p>
      <w:pPr>
        <w:pStyle w:val="657"/>
        <w:widowControl w:val="true"/>
        <w:pBdr/>
        <w:tabs>
          <w:tab w:val="right" w:leader="none" w:pos="10206"/>
        </w:tabs>
        <w:spacing/>
        <w:ind w:firstLine="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</w:r>
      <w:r>
        <w:rPr>
          <w:rFonts w:ascii="Times New Roman" w:hAnsi="Times New Roman"/>
          <w:iCs/>
          <w:sz w:val="22"/>
          <w:szCs w:val="22"/>
        </w:rPr>
      </w:r>
    </w:p>
    <w:p>
      <w:pPr>
        <w:pStyle w:val="650"/>
        <w:pBdr/>
        <w:tabs>
          <w:tab w:val="left" w:leader="none" w:pos="8370"/>
        </w:tabs>
        <w:spacing/>
        <w:ind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50"/>
        <w:pBdr/>
        <w:spacing/>
        <w:ind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50"/>
        <w:pBdr/>
        <w:tabs>
          <w:tab w:val="left" w:leader="none" w:pos="6135"/>
        </w:tabs>
        <w:spacing/>
        <w:ind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50"/>
        <w:pBdr/>
        <w:tabs>
          <w:tab w:val="center" w:leader="none" w:pos="7853"/>
        </w:tabs>
        <w:spacing/>
        <w:ind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50"/>
        <w:pBdr/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50"/>
        <w:pBdr/>
        <w:tabs>
          <w:tab w:val="left" w:leader="none" w:pos="9450"/>
        </w:tabs>
        <w:spacing/>
        <w:ind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50"/>
        <w:pBdr/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50"/>
        <w:pBdr/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50"/>
        <w:pBdr/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50"/>
        <w:pBdr/>
        <w:tabs>
          <w:tab w:val="left" w:leader="none" w:pos="9435"/>
        </w:tabs>
        <w:spacing/>
        <w:ind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</w:r>
    </w:p>
    <w:sectPr>
      <w:footnotePr/>
      <w:endnotePr/>
      <w:type w:val="nextPage"/>
      <w:pgSz w:h="11907" w:orient="portrait" w:w="16840"/>
      <w:pgMar w:top="1276" w:right="567" w:bottom="851" w:left="567" w:header="720" w:footer="391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ahoma">
    <w:panose1 w:val="020B0604030504040204"/>
  </w:font>
  <w:font w:name="Times New Roman CYR">
    <w:panose1 w:val="02000603000000000000"/>
  </w:font>
  <w:font w:name="Times New Roman">
    <w:panose1 w:val="02020603050405020304"/>
  </w:font>
  <w:font w:name="Consultant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540"/>
        </w:tabs>
        <w:spacing/>
        <w:ind w:hanging="360" w:left="5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260"/>
        </w:tabs>
        <w:spacing/>
        <w:ind w:hanging="360" w:left="12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980"/>
        </w:tabs>
        <w:spacing/>
        <w:ind w:hanging="180" w:left="19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700"/>
        </w:tabs>
        <w:spacing/>
        <w:ind w:hanging="360" w:left="27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420"/>
        </w:tabs>
        <w:spacing/>
        <w:ind w:hanging="360" w:left="34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140"/>
        </w:tabs>
        <w:spacing/>
        <w:ind w:hanging="180" w:left="41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860"/>
        </w:tabs>
        <w:spacing/>
        <w:ind w:hanging="360" w:left="48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580"/>
        </w:tabs>
        <w:spacing/>
        <w:ind w:hanging="360" w:left="55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300"/>
        </w:tabs>
        <w:spacing/>
        <w:ind w:hanging="180" w:left="630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1155"/>
        </w:tabs>
        <w:spacing/>
        <w:ind w:hanging="510" w:left="115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25"/>
        </w:tabs>
        <w:spacing/>
        <w:ind w:hanging="360" w:left="172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445"/>
        </w:tabs>
        <w:spacing/>
        <w:ind w:hanging="180" w:left="244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165"/>
        </w:tabs>
        <w:spacing/>
        <w:ind w:hanging="360" w:left="316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885"/>
        </w:tabs>
        <w:spacing/>
        <w:ind w:hanging="360" w:left="388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05"/>
        </w:tabs>
        <w:spacing/>
        <w:ind w:hanging="180" w:left="460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25"/>
        </w:tabs>
        <w:spacing/>
        <w:ind w:hanging="360" w:left="532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045"/>
        </w:tabs>
        <w:spacing/>
        <w:ind w:hanging="360" w:left="604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765"/>
        </w:tabs>
        <w:spacing/>
        <w:ind w:hanging="180" w:left="6765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1093"/>
        </w:tabs>
        <w:spacing/>
        <w:ind w:hanging="360" w:left="109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13"/>
        </w:tabs>
        <w:spacing/>
        <w:ind w:hanging="360" w:left="181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33"/>
        </w:tabs>
        <w:spacing/>
        <w:ind w:hanging="180" w:left="253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53"/>
        </w:tabs>
        <w:spacing/>
        <w:ind w:hanging="360" w:left="325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73"/>
        </w:tabs>
        <w:spacing/>
        <w:ind w:hanging="360" w:left="397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93"/>
        </w:tabs>
        <w:spacing/>
        <w:ind w:hanging="180" w:left="469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13"/>
        </w:tabs>
        <w:spacing/>
        <w:ind w:hanging="360" w:left="541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33"/>
        </w:tabs>
        <w:spacing/>
        <w:ind w:hanging="360" w:left="613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53"/>
        </w:tabs>
        <w:spacing/>
        <w:ind w:hanging="180" w:left="6853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7"/>
  </w:num>
  <w:num w:numId="5">
    <w:abstractNumId w:val="5"/>
  </w:num>
  <w:num w:numId="6">
    <w:abstractNumId w:val="11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0"/>
  </w:num>
  <w:num w:numId="12">
    <w:abstractNumId w:val="12"/>
  </w:num>
  <w:num w:numId="13">
    <w:abstractNumId w:val="14"/>
  </w:num>
  <w:num w:numId="14">
    <w:abstractNumId w:val="8"/>
  </w:num>
  <w:num w:numId="15">
    <w:abstractNumId w:val="0"/>
  </w:num>
  <w:num w:numId="16">
    <w:abstractNumId w:val="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0"/>
    <w:next w:val="650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50"/>
    <w:next w:val="650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50"/>
    <w:next w:val="650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50"/>
    <w:next w:val="650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0"/>
    <w:next w:val="650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0"/>
    <w:next w:val="650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0"/>
    <w:next w:val="650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0"/>
    <w:next w:val="650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0"/>
    <w:next w:val="650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0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50"/>
    <w:next w:val="650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50"/>
    <w:next w:val="650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50"/>
    <w:next w:val="650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50"/>
    <w:next w:val="650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50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50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50"/>
    <w:next w:val="65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50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50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50"/>
    <w:next w:val="650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50"/>
    <w:next w:val="650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50"/>
    <w:next w:val="650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50"/>
    <w:next w:val="650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50"/>
    <w:next w:val="650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50"/>
    <w:next w:val="650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50"/>
    <w:next w:val="650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50"/>
    <w:next w:val="650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50"/>
    <w:next w:val="650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50"/>
    <w:next w:val="650"/>
    <w:uiPriority w:val="99"/>
    <w:unhideWhenUsed/>
    <w:pPr>
      <w:pBdr/>
      <w:spacing w:after="0" w:afterAutospacing="0"/>
      <w:ind/>
    </w:pPr>
  </w:style>
  <w:style w:type="paragraph" w:styleId="650" w:default="1">
    <w:name w:val="Normal"/>
    <w:next w:val="650"/>
    <w:link w:val="650"/>
    <w:qFormat/>
    <w:pPr>
      <w:pBdr/>
      <w:spacing/>
      <w:ind/>
    </w:pPr>
    <w:rPr>
      <w:lang w:val="ru-RU" w:eastAsia="ru-RU" w:bidi="ar-SA"/>
    </w:rPr>
  </w:style>
  <w:style w:type="paragraph" w:styleId="651">
    <w:name w:val="Заголовок 2"/>
    <w:basedOn w:val="650"/>
    <w:next w:val="650"/>
    <w:link w:val="650"/>
    <w:qFormat/>
    <w:pPr>
      <w:keepNext w:val="true"/>
      <w:pBdr/>
      <w:spacing/>
      <w:ind/>
      <w:jc w:val="both"/>
      <w:outlineLvl w:val="1"/>
    </w:pPr>
    <w:rPr>
      <w:sz w:val="24"/>
    </w:rPr>
  </w:style>
  <w:style w:type="character" w:styleId="652">
    <w:name w:val="Основной шрифт абзаца"/>
    <w:next w:val="652"/>
    <w:link w:val="650"/>
    <w:semiHidden/>
    <w:pPr>
      <w:pBdr/>
      <w:spacing/>
      <w:ind/>
    </w:pPr>
  </w:style>
  <w:style w:type="table" w:styleId="653">
    <w:name w:val="Обычная таблица"/>
    <w:next w:val="653"/>
    <w:link w:val="650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54">
    <w:name w:val="Нет списка"/>
    <w:next w:val="654"/>
    <w:link w:val="650"/>
    <w:semiHidden/>
    <w:pPr>
      <w:pBdr/>
      <w:spacing/>
      <w:ind/>
    </w:pPr>
  </w:style>
  <w:style w:type="table" w:styleId="655">
    <w:name w:val="Сетка таблицы"/>
    <w:basedOn w:val="653"/>
    <w:next w:val="655"/>
    <w:link w:val="650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56">
    <w:name w:val="ConsNonformat"/>
    <w:next w:val="656"/>
    <w:link w:val="650"/>
    <w:pPr>
      <w:widowControl w:val="false"/>
      <w:pBdr/>
      <w:spacing/>
      <w:ind/>
    </w:pPr>
    <w:rPr>
      <w:rFonts w:ascii="Consultant" w:hAnsi="Consultant"/>
      <w:lang w:val="ru-RU" w:eastAsia="ru-RU" w:bidi="ar-SA"/>
    </w:rPr>
  </w:style>
  <w:style w:type="paragraph" w:styleId="657">
    <w:name w:val="ConsNormal"/>
    <w:next w:val="657"/>
    <w:link w:val="650"/>
    <w:pPr>
      <w:widowControl w:val="false"/>
      <w:pBdr/>
      <w:spacing/>
      <w:ind w:firstLine="720"/>
    </w:pPr>
    <w:rPr>
      <w:rFonts w:ascii="Consultant" w:hAnsi="Consultant"/>
      <w:sz w:val="16"/>
      <w:szCs w:val="16"/>
      <w:lang w:val="ru-RU" w:eastAsia="ru-RU" w:bidi="ar-SA"/>
    </w:rPr>
  </w:style>
  <w:style w:type="paragraph" w:styleId="658">
    <w:name w:val="xl24"/>
    <w:basedOn w:val="650"/>
    <w:next w:val="658"/>
    <w:link w:val="650"/>
    <w:pPr>
      <w:pBdr/>
      <w:spacing w:after="100" w:afterAutospacing="1" w:before="100" w:beforeAutospacing="1"/>
      <w:ind/>
      <w:jc w:val="center"/>
    </w:pPr>
    <w:rPr>
      <w:rFonts w:ascii="Times New Roman CYR" w:hAnsi="Times New Roman CYR" w:cs="Times New Roman CYR"/>
      <w:sz w:val="24"/>
      <w:szCs w:val="24"/>
    </w:rPr>
  </w:style>
  <w:style w:type="paragraph" w:styleId="659">
    <w:name w:val="Текст выноски"/>
    <w:basedOn w:val="650"/>
    <w:next w:val="659"/>
    <w:link w:val="650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1535" w:default="1">
    <w:name w:val="Default Paragraph Font"/>
    <w:uiPriority w:val="1"/>
    <w:semiHidden/>
    <w:unhideWhenUsed/>
    <w:pPr>
      <w:pBdr/>
      <w:spacing/>
      <w:ind/>
    </w:pPr>
  </w:style>
  <w:style w:type="numbering" w:styleId="1536" w:default="1">
    <w:name w:val="No List"/>
    <w:uiPriority w:val="99"/>
    <w:semiHidden/>
    <w:unhideWhenUsed/>
    <w:pPr>
      <w:pBdr/>
      <w:spacing/>
      <w:ind/>
    </w:pPr>
  </w:style>
  <w:style w:type="table" w:styleId="1537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revision>3</cp:revision>
  <dcterms:created xsi:type="dcterms:W3CDTF">2025-04-02T13:27:00Z</dcterms:created>
  <dcterms:modified xsi:type="dcterms:W3CDTF">2025-04-03T05:50:58Z</dcterms:modified>
  <cp:version>1048576</cp:version>
</cp:coreProperties>
</file>