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before="0" w:after="0"/>
        <w:ind w:hanging="0" w:start="0" w:end="3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lineRule="auto" w:line="240" w:before="0" w:after="0"/>
        <w:ind w:hanging="0" w:start="0" w:end="43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О внесении изменения в  cостав  </w:t>
      </w:r>
      <w:r>
        <w:rPr>
          <w:rFonts w:cs="Times New Roman"/>
          <w:color w:themeColor="text1" w:val="000000"/>
          <w:sz w:val="28"/>
          <w:szCs w:val="28"/>
          <w:shd w:fill="auto" w:val="clear"/>
        </w:rPr>
        <w:t xml:space="preserve">Комиссии по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рассмотрению </w:t>
      </w:r>
      <w:r>
        <w:rPr>
          <w:rFonts w:cs="Times New Roman"/>
          <w:color w:themeColor="text1" w:val="000000"/>
          <w:sz w:val="28"/>
          <w:szCs w:val="28"/>
          <w:shd w:fill="auto" w:val="clear"/>
        </w:rPr>
        <w:t>технических проектов разработки месторождений общераспространенных полезных ископаемых, технических проектов строительства и эксплуатации п</w:t>
      </w:r>
      <w:r>
        <w:rPr>
          <w:rFonts w:cs="Times New Roman"/>
          <w:color w:themeColor="text1" w:val="000000"/>
          <w:sz w:val="28"/>
          <w:szCs w:val="28"/>
        </w:rPr>
        <w:t xml:space="preserve">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/>
          <w:color w:themeColor="text1" w:val="000000"/>
          <w:sz w:val="28"/>
          <w:szCs w:val="28"/>
          <w:lang w:val="en-US"/>
        </w:rPr>
        <w:t>I</w:t>
      </w:r>
      <w:r>
        <w:rPr>
          <w:rFonts w:cs="Times New Roman"/>
          <w:color w:themeColor="text1" w:val="000000"/>
          <w:sz w:val="28"/>
          <w:szCs w:val="28"/>
        </w:rPr>
        <w:t>-</w:t>
      </w:r>
      <w:r>
        <w:rPr>
          <w:rFonts w:cs="Times New Roman"/>
          <w:color w:themeColor="text1" w:val="000000"/>
          <w:sz w:val="28"/>
          <w:szCs w:val="28"/>
          <w:lang w:val="en-US"/>
        </w:rPr>
        <w:t>V</w:t>
      </w:r>
      <w:r>
        <w:rPr>
          <w:rFonts w:cs="Times New Roman"/>
          <w:color w:themeColor="text1" w:val="000000"/>
          <w:sz w:val="28"/>
          <w:szCs w:val="28"/>
        </w:rPr>
        <w:t xml:space="preserve"> классов опасности, хранилищ углеводородного   сырья,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значения», утвержденный приказом Министерства экологии и природных ресурсов Республики Татарстан от 05.09.2023 № 1031-п</w:t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lineRule="auto" w:line="240" w:before="0" w:after="0"/>
        <w:ind w:hanging="0" w:start="0" w:end="43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3864" w:leader="none"/>
          <w:tab w:val="left" w:pos="4148" w:leader="none"/>
        </w:tabs>
        <w:suppressAutoHyphens w:val="true"/>
        <w:bidi w:val="0"/>
        <w:spacing w:lineRule="auto" w:line="240" w:before="0" w:after="0"/>
        <w:ind w:hanging="0" w:start="0" w:end="43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bidi w:val="0"/>
        <w:ind w:firstLine="567" w:end="-2"/>
        <w:jc w:val="both"/>
        <w:rPr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>В связи с произошедшими кадровыми изменениями  п р и к а з ы в а ю: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 Внести в состав Комиссии по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рассмотрению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технических проектов разработки месторождений общераспространенных полезных ископаемых, технических проектов строительства и</w:t>
      </w:r>
      <w:r>
        <w:rPr>
          <w:rFonts w:cs="Times New Roman" w:ascii="Times New Roman" w:hAnsi="Times New Roman"/>
          <w:sz w:val="28"/>
          <w:szCs w:val="28"/>
        </w:rPr>
        <w:t xml:space="preserve">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выработок, буровых скважин и иных сооружений, связанных с пользованием недрами в отношении участков недр местного значения», утвержденный приказом Министерства экологии и природных ресурсов Республики Татарстан от 05.09.2023 № 1031-п «Об организации рассмотрения и согласования 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значения» изменение, изложив его в новой  редакции (прилагается).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геологии твердых полезных ископаемых направить данный приказ на регистрацию в Министерство юстиции Республики Татарстан.</w:t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56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Контроль за исполнением настоящего приказа возложить на заместителя министра экологии и природных ресурсов Республики Татарстан А.А. Тугушева.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rFonts w:cs="Times New Roman"/>
          <w:color w:themeColor="text1" w:val="000000"/>
          <w:sz w:val="28"/>
          <w:szCs w:val="28"/>
        </w:rPr>
        <w:t>Министр                                                                                                     А. В. Шадриков</w:t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bidi w:val="0"/>
        <w:ind w:end="-2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start="6973" w:end="227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Утвержден приказом Министерства экологии и природных ресурсов Республики     Татарстан</w:t>
      </w:r>
    </w:p>
    <w:p>
      <w:pPr>
        <w:pStyle w:val="ConsPlusNormal"/>
        <w:widowControl w:val="false"/>
        <w:suppressAutoHyphens w:val="true"/>
        <w:bidi w:val="0"/>
        <w:spacing w:before="0" w:after="0"/>
        <w:ind w:hanging="0" w:start="6973" w:end="340"/>
        <w:jc w:val="start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от</w:t>
      </w:r>
      <w:r>
        <w:rPr>
          <w:rFonts w:cs="Times New Roman" w:ascii="Times New Roman" w:hAnsi="Times New Roman"/>
          <w:color w:themeColor="text1" w:val="000000"/>
          <w:sz w:val="28"/>
          <w:szCs w:val="28"/>
          <w:u w:val="none"/>
        </w:rPr>
        <w:t xml:space="preserve"> 05.09.2023 №1031-п</w:t>
      </w:r>
    </w:p>
    <w:p>
      <w:pPr>
        <w:pStyle w:val="ConsPlusNormal"/>
        <w:ind w:start="6946"/>
        <w:rPr>
          <w:u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u w:val="none"/>
        </w:rPr>
        <w:t>(в редакции приказа Министерства  экологии</w:t>
      </w:r>
    </w:p>
    <w:p>
      <w:pPr>
        <w:pStyle w:val="ConsPlusNormal"/>
        <w:ind w:start="6946"/>
        <w:rPr>
          <w:u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u w:val="none"/>
        </w:rPr>
        <w:t>и природных     ресурсов Республики    Татарстан</w:t>
      </w:r>
    </w:p>
    <w:p>
      <w:pPr>
        <w:pStyle w:val="ConsPlusNormal"/>
        <w:ind w:start="6946"/>
        <w:rPr>
          <w:u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u w:val="none"/>
        </w:rPr>
        <w:t>от _____№___________)</w:t>
      </w:r>
    </w:p>
    <w:p>
      <w:pPr>
        <w:pStyle w:val="ConsPlusNormal"/>
        <w:ind w:start="6946"/>
        <w:rPr>
          <w:u w:val="none"/>
        </w:rPr>
      </w:pPr>
      <w:r>
        <w:rPr>
          <w:u w:val="none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 xml:space="preserve">Состав Комиссии по рассмотрению технических проектов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color w:themeColor="text1" w:val="000000"/>
          <w:sz w:val="28"/>
          <w:szCs w:val="28"/>
        </w:rPr>
        <w:t xml:space="preserve">разработки месторождений </w:t>
      </w:r>
      <w:r>
        <w:rPr>
          <w:rFonts w:cs="Times New Roman" w:ascii="Times New Roman" w:hAnsi="Times New Roman"/>
          <w:b w:val="false"/>
          <w:sz w:val="28"/>
          <w:szCs w:val="28"/>
        </w:rPr>
        <w:t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>
        <w:rPr/>
        <w:t xml:space="preserve"> </w:t>
      </w:r>
    </w:p>
    <w:tbl>
      <w:tblPr>
        <w:tblW w:w="10031" w:type="dxa"/>
        <w:jc w:val="start"/>
        <w:tblInd w:w="33" w:type="dxa"/>
        <w:tblLayout w:type="fixed"/>
        <w:tblCellMar>
          <w:top w:w="57" w:type="dxa"/>
          <w:start w:w="108" w:type="dxa"/>
          <w:bottom w:w="57" w:type="dxa"/>
          <w:end w:w="108" w:type="dxa"/>
        </w:tblCellMar>
        <w:tblLook w:noVBand="1" w:val="04a0" w:noHBand="0" w:lastColumn="0" w:firstColumn="1" w:lastRow="0" w:firstRow="1"/>
      </w:tblPr>
      <w:tblGrid>
        <w:gridCol w:w="2977"/>
        <w:gridCol w:w="6940"/>
        <w:gridCol w:w="114"/>
      </w:tblGrid>
      <w:tr>
        <w:trPr>
          <w:trHeight w:val="696" w:hRule="atLeast"/>
        </w:trPr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Тугушев Алмаз Абзалович</w:t>
            </w:r>
          </w:p>
        </w:tc>
        <w:tc>
          <w:tcPr>
            <w:tcW w:w="6940" w:type="dxa"/>
            <w:tcBorders/>
          </w:tcPr>
          <w:p>
            <w:pPr>
              <w:pStyle w:val="ConsPlusNormal"/>
              <w:spacing w:before="22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заместитель министра экологии и природных ресурсов Республики Татарстан - председатель Комиссии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>
          <w:trHeight w:val="979" w:hRule="atLeast"/>
        </w:trPr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Долгов Вячеслав Анатольевич</w:t>
            </w:r>
          </w:p>
        </w:tc>
        <w:tc>
          <w:tcPr>
            <w:tcW w:w="6940" w:type="dxa"/>
            <w:tcBorders/>
          </w:tcPr>
          <w:p>
            <w:pPr>
              <w:pStyle w:val="ConsPlusNormal"/>
              <w:spacing w:before="22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председателя Комиссии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Садриев Ильнар Илфатович</w:t>
            </w:r>
          </w:p>
        </w:tc>
        <w:tc>
          <w:tcPr>
            <w:tcW w:w="6940" w:type="dxa"/>
            <w:tcBorders/>
          </w:tcPr>
          <w:p>
            <w:pPr>
              <w:pStyle w:val="Normal"/>
              <w:bidi w:val="0"/>
              <w:ind w:star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– ответственный секретарь Комиссии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геологии углеводородного сырья </w:t>
            </w:r>
            <w:r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Волкова Айгуль Рамилевна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Киямов Альберт</w:t>
            </w:r>
          </w:p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Анасович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rFonts w:eastAsia="Calibri"/>
                <w:color w:val="000000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bidi w:val="0"/>
              <w:ind w:start="39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лицензирования недропользования </w:t>
            </w:r>
            <w:r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>
          <w:trHeight w:val="226" w:hRule="atLeast"/>
        </w:trPr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Регина Анатольевна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Чеснокова Ирина Валерьевна</w:t>
            </w:r>
          </w:p>
        </w:tc>
        <w:tc>
          <w:tcPr>
            <w:tcW w:w="6940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Шутникова Светлана Анатольевна</w:t>
            </w:r>
          </w:p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4354" w:leader="none"/>
              </w:tabs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star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0" w:type="dxa"/>
            <w:tcBorders/>
          </w:tcPr>
          <w:p>
            <w:pPr>
              <w:pStyle w:val="Normal"/>
              <w:bidi w:val="0"/>
              <w:ind w:start="3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  <w:tc>
          <w:tcPr>
            <w:tcW w:w="114" w:type="dxa"/>
            <w:tcBorders/>
          </w:tcPr>
          <w:p>
            <w:pPr>
              <w:pStyle w:val="Normal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ind w:end="-2"/>
        <w:jc w:val="both"/>
        <w:rPr>
          <w:rFonts w:ascii="Times New Roman" w:hAnsi="Times New Roman" w:cs="Times New Roman"/>
          <w:color w:themeColor="text1" w:val="000000"/>
          <w:sz w:val="28"/>
          <w:szCs w:val="28"/>
          <w:u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3"/>
    <w:qFormat/>
    <w:pPr>
      <w:ind w:hanging="0" w:start="0" w:end="0"/>
    </w:pPr>
    <w:rPr/>
  </w:style>
  <w:style w:type="paragraph" w:styleId="Index1">
    <w:name w:val="index 1"/>
    <w:basedOn w:val="Style24"/>
    <w:qFormat/>
    <w:pPr>
      <w:ind w:hanging="0" w:start="0" w:end="0"/>
    </w:pPr>
    <w:rPr/>
  </w:style>
  <w:style w:type="paragraph" w:styleId="Index2">
    <w:name w:val="index 2"/>
    <w:basedOn w:val="Style24"/>
    <w:qFormat/>
    <w:pPr>
      <w:ind w:hanging="0" w:start="0" w:end="0"/>
    </w:pPr>
    <w:rPr/>
  </w:style>
  <w:style w:type="paragraph" w:styleId="Index3">
    <w:name w:val="index 3"/>
    <w:basedOn w:val="Style24"/>
    <w:qFormat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qFormat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"/>
    <w:qFormat/>
    <w:pPr/>
    <w:rPr/>
  </w:style>
  <w:style w:type="paragraph" w:styleId="Style40">
    <w:name w:val="Таблица"/>
    <w:basedOn w:val="Caption1"/>
    <w:qFormat/>
    <w:pPr/>
    <w:rPr/>
  </w:style>
  <w:style w:type="paragraph" w:styleId="Style41">
    <w:name w:val="Текст"/>
    <w:basedOn w:val="Caption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1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LibreOffice/7.6.7.2$Linux_X86_64 LibreOffice_project/60$Build-2</Application>
  <AppVersion>15.0000</AppVersion>
  <Pages>4</Pages>
  <Words>577</Words>
  <Characters>4528</Characters>
  <CharactersWithSpaces>5200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2025-04-15T15:36:24Z</dcterms:created>
  <dc:creator/>
  <dc:description/>
  <dc:language>ru-RU</dc:language>
  <cp:lastModifiedBy/>
  <dcterms:modified xsi:type="dcterms:W3CDTF">2025-04-16T09:35:10Z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