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78" w:rsidRDefault="00801B78" w:rsidP="00801B7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bookmarkStart w:id="1" w:name="_GoBack"/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01B78" w:rsidRDefault="00801B7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801B7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801B7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801B78" w:rsidRPr="00801B78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801B7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801B7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801B78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1304AD" w:rsidRPr="00801B78">
        <w:rPr>
          <w:rFonts w:ascii="Arial" w:eastAsia="Times New Roman" w:hAnsi="Arial" w:cs="Arial"/>
          <w:sz w:val="24"/>
          <w:szCs w:val="24"/>
          <w:lang w:eastAsia="ru-RU"/>
        </w:rPr>
        <w:t>апреля 2025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801B78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Pr="00801B78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Pr="00801B78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801B78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801B78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Буревестниковского</w:t>
      </w:r>
      <w:r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 w:rsidR="00801B78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31-94</w:t>
      </w:r>
      <w:r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«</w:t>
      </w:r>
      <w:r w:rsidR="0012388D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801B78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Буревестниковского</w:t>
      </w:r>
      <w:r w:rsidR="00F56F7B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801B78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bookmarkEnd w:id="1"/>
    <w:p w:rsidR="0012388D" w:rsidRPr="00801B78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801B78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801B78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801B78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801B78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801B78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801B78" w:rsidRPr="00801B78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F56F7B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801B7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801B78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801B78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30.12.2022 №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31-94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(в редакции решени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Совета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26.07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.2023 №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-11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11.06.2024 № 46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>-14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25.10.2024 № 49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-14</w:t>
      </w:r>
      <w:r w:rsidR="00801B78" w:rsidRPr="00801B78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801B78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«13 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990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» заменить цифрами «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D149DE" w:rsidRPr="00801B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04AD" w:rsidRPr="00801B78">
        <w:rPr>
          <w:rFonts w:ascii="Arial" w:hAnsi="Arial" w:cs="Arial"/>
          <w:sz w:val="24"/>
          <w:szCs w:val="24"/>
          <w:shd w:val="clear" w:color="auto" w:fill="FFFFFF"/>
        </w:rPr>
        <w:t>389</w:t>
      </w:r>
      <w:r w:rsidRPr="00801B78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E373D" w:rsidRPr="00801B78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B78">
        <w:rPr>
          <w:rFonts w:ascii="Arial" w:hAnsi="Arial" w:cs="Arial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801B78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801B78" w:rsidRPr="00801B78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801B78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801B78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801B78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B78" w:rsidRPr="00801B78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801B78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801B78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801B78" w:rsidRPr="00801B78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801B78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801B78" w:rsidRDefault="00801B78" w:rsidP="00A0766F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304AD" w:rsidRPr="00801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</w:tr>
    </w:tbl>
    <w:p w:rsidR="00D10C2E" w:rsidRPr="00801B78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766F" w:rsidRPr="00801B78" w:rsidRDefault="00A0766F" w:rsidP="00331012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Во втором абзаце части 2.1. Решения цифры «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12,86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«1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8»;</w:t>
      </w:r>
    </w:p>
    <w:p w:rsidR="00A0766F" w:rsidRPr="00801B78" w:rsidRDefault="00A0766F" w:rsidP="00331012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части 3.5. Решения слова «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41 процента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» заменить словами «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D412ED" w:rsidRPr="00801B78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</w:t>
      </w:r>
      <w:r w:rsidR="000D5F4A" w:rsidRPr="00801B78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801B78">
        <w:rPr>
          <w:rFonts w:ascii="Arial" w:eastAsia="Times New Roman" w:hAnsi="Arial" w:cs="Arial"/>
          <w:sz w:val="24"/>
          <w:szCs w:val="24"/>
          <w:lang w:eastAsia="ru-RU"/>
        </w:rPr>
        <w:t>мая</w:t>
      </w:r>
      <w:r w:rsidR="001C0CF3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D149DE" w:rsidRPr="00801B7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801B78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801B78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801B7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801B7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801B7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801B7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801B7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801B7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801B78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801B7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801B78">
        <w:rPr>
          <w:rFonts w:ascii="Arial" w:hAnsi="Arial" w:cs="Arial"/>
          <w:sz w:val="24"/>
          <w:szCs w:val="24"/>
        </w:rPr>
        <w:t>.</w:t>
      </w:r>
    </w:p>
    <w:p w:rsidR="00D10C2E" w:rsidRPr="00801B78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 w:rsidRPr="00801B78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ую депутатскую комиссию 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801B78" w:rsidRPr="00801B78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A70FD2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801B7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801B78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801B78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801B78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1B78" w:rsidRPr="00801B78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A70FD2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801B78" w:rsidRPr="00801B78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801B78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801B78" w:rsidRDefault="00801B78" w:rsidP="00801B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01B78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8F6528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801B7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  <w:r w:rsidR="00800B30" w:rsidRPr="00801B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1B78">
        <w:rPr>
          <w:rFonts w:ascii="Arial" w:eastAsia="Times New Roman" w:hAnsi="Arial" w:cs="Arial"/>
          <w:sz w:val="24"/>
          <w:szCs w:val="24"/>
          <w:lang w:eastAsia="ru-RU"/>
        </w:rPr>
        <w:t>Ю.М. Улитин</w:t>
      </w:r>
    </w:p>
    <w:p w:rsidR="003A3915" w:rsidRPr="00801B78" w:rsidRDefault="003A3915" w:rsidP="001C0CF3">
      <w:pPr>
        <w:spacing w:line="240" w:lineRule="auto"/>
        <w:ind w:firstLine="567"/>
      </w:pPr>
    </w:p>
    <w:p w:rsidR="00D51C8B" w:rsidRPr="00801B78" w:rsidRDefault="00C040AB" w:rsidP="001C0CF3">
      <w:pPr>
        <w:spacing w:after="0" w:line="240" w:lineRule="auto"/>
        <w:ind w:firstLine="567"/>
      </w:pPr>
      <w:r w:rsidRPr="00801B78">
        <w:t xml:space="preserve">                                                                                          </w:t>
      </w:r>
      <w:r w:rsidR="00B144CB" w:rsidRPr="00801B78">
        <w:t xml:space="preserve">         </w:t>
      </w:r>
      <w:r w:rsidR="00800B30" w:rsidRPr="00801B78">
        <w:t xml:space="preserve">      </w:t>
      </w:r>
    </w:p>
    <w:p w:rsidR="002C325D" w:rsidRPr="00801B78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Pr="00801B78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801B78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 w:rsidRPr="00801B78">
        <w:rPr>
          <w:rFonts w:ascii="Arial" w:hAnsi="Arial" w:cs="Arial"/>
          <w:sz w:val="24"/>
          <w:szCs w:val="24"/>
        </w:rPr>
        <w:t xml:space="preserve"> </w:t>
      </w:r>
    </w:p>
    <w:p w:rsidR="00B144CB" w:rsidRPr="00801B78" w:rsidRDefault="00B144CB" w:rsidP="001C0CF3">
      <w:pPr>
        <w:spacing w:line="240" w:lineRule="auto"/>
        <w:ind w:firstLine="567"/>
      </w:pPr>
    </w:p>
    <w:sectPr w:rsidR="00B144CB" w:rsidRPr="00801B78" w:rsidSect="00801B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441EB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6504B"/>
    <w:rsid w:val="00780FBC"/>
    <w:rsid w:val="007A600A"/>
    <w:rsid w:val="00800B30"/>
    <w:rsid w:val="00801B78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750F3"/>
    <w:rsid w:val="00B834A6"/>
    <w:rsid w:val="00C040AB"/>
    <w:rsid w:val="00C06F5D"/>
    <w:rsid w:val="00C169CF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59FD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Пользователь</cp:lastModifiedBy>
  <cp:revision>7</cp:revision>
  <cp:lastPrinted>2023-01-11T08:36:00Z</cp:lastPrinted>
  <dcterms:created xsi:type="dcterms:W3CDTF">2025-04-16T06:52:00Z</dcterms:created>
  <dcterms:modified xsi:type="dcterms:W3CDTF">2025-04-23T10:45:00Z</dcterms:modified>
</cp:coreProperties>
</file>