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8"/>
          <w:szCs w:val="28"/>
        </w:rPr>
      </w:pPr>
      <w:r>
        <w:rPr>
          <w:rFonts w:cs="Times New Roman" w:ascii="Times New Roman" w:hAnsi="Times New Roman"/>
          <w:sz w:val="28"/>
          <w:szCs w:val="28"/>
        </w:rPr>
        <w:tab/>
        <w:tab/>
        <w:tab/>
        <w:tab/>
        <w:tab/>
        <w:tab/>
        <w:tab/>
        <w:tab/>
        <w:tab/>
        <w:tab/>
        <w:tab/>
        <w:tab/>
        <w:t>Проект</w:t>
      </w:r>
    </w:p>
    <w:p>
      <w:pPr>
        <w:pStyle w:val="Normal"/>
        <w:spacing w:lineRule="auto" w:line="240" w:before="0" w:after="0"/>
        <w:ind w:right="5671" w:hanging="0"/>
        <w:jc w:val="both"/>
        <w:rPr>
          <w:rFonts w:ascii="Times New Roman" w:hAnsi="Times New Roman" w:cs="Times New Roman"/>
          <w:bCs/>
          <w:sz w:val="28"/>
          <w:szCs w:val="28"/>
        </w:rPr>
      </w:pPr>
      <w:r>
        <w:rPr>
          <w:rFonts w:cs="Times New Roman" w:ascii="Times New Roman" w:hAnsi="Times New Roman"/>
          <w:sz w:val="28"/>
          <w:szCs w:val="28"/>
        </w:rPr>
        <w:t>О внесении изменений в положение об условиях оплаты труда руководителей и работников отдельных муниципальных учреждений, утвержденное  постановлением Исполнительного комитета от 30.01.2025 № 561</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w:t>
      </w:r>
      <w:hyperlink r:id="rId2">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14.04.2025 № 226 «О повышении  размеров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и внесении  изменений в </w:t>
      </w:r>
      <w:hyperlink r:id="rId3">
        <w:r>
          <w:rPr>
            <w:rFonts w:cs="Times New Roman" w:ascii="Times New Roman" w:hAnsi="Times New Roman"/>
            <w:sz w:val="28"/>
            <w:szCs w:val="28"/>
          </w:rPr>
          <w:t>постановление</w:t>
        </w:r>
      </w:hyperlink>
      <w:r>
        <w:rPr>
          <w:rFonts w:cs="Times New Roman" w:ascii="Times New Roman" w:hAnsi="Times New Roman"/>
          <w:sz w:val="28"/>
          <w:szCs w:val="28"/>
        </w:rPr>
        <w:t xml:space="preserve">  Кабинета Министров Республики Татарстан от 30.03.2018 № 195 «Об 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постановлением Кабинета Министров Республики Татарстан от 17.04.2025 № 238 «О внесении изменени</w:t>
      </w:r>
      <w:r>
        <w:rPr>
          <w:rFonts w:cs="Times New Roman" w:ascii="Times New Roman" w:hAnsi="Times New Roman"/>
          <w:sz w:val="28"/>
          <w:szCs w:val="28"/>
        </w:rPr>
        <w:t>я</w:t>
      </w:r>
      <w:r>
        <w:rPr>
          <w:rFonts w:cs="Times New Roman" w:ascii="Times New Roman" w:hAnsi="Times New Roman"/>
          <w:sz w:val="28"/>
          <w:szCs w:val="28"/>
        </w:rPr>
        <w:t xml:space="preserve"> в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учитываемых при формировании межбюджетных отношений в Республике Татарстан, утвержденную </w:t>
      </w:r>
      <w:hyperlink r:id="rId4">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14.08.2017 № 569», </w:t>
      </w:r>
      <w:hyperlink r:id="rId5">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17.04.2025 № 241 «О внесении изменения в  </w:t>
      </w:r>
      <w:hyperlink r:id="rId6">
        <w:r>
          <w:rPr>
            <w:rFonts w:cs="Times New Roman" w:ascii="Times New Roman" w:hAnsi="Times New Roman"/>
            <w:sz w:val="28"/>
            <w:szCs w:val="28"/>
          </w:rPr>
          <w:t>постановление</w:t>
        </w:r>
      </w:hyperlink>
      <w:r>
        <w:rPr>
          <w:rFonts w:cs="Times New Roman" w:ascii="Times New Roman" w:hAnsi="Times New Roman"/>
          <w:sz w:val="28"/>
          <w:szCs w:val="28"/>
        </w:rPr>
        <w:t xml:space="preserve"> Кабинета Министров Республики Татарстан от 14.06.2011 № 477 «О повышении заработной платы работников государственных учреждений Республики Татарстан, оплата труда которых рассчитывается на основе единой тарифной сетки», </w:t>
      </w:r>
      <w:hyperlink r:id="rId7">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17.04.2025 № 242 «О внесении изменений в Положения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утвержденное </w:t>
      </w:r>
      <w:hyperlink r:id="rId8">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31.12.2013 № 1097 «Об утверждении Положения об условиях оплаты труда работников государственных учреждений Республики Татарстан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пунктом 5.24  Положения о системе муниципальных правовых актов, утвержденного Решением Городского Совета от 21.02.2007 № 19/8</w:t>
      </w:r>
    </w:p>
    <w:p>
      <w:pPr>
        <w:pStyle w:val="Normal"/>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ListParagraph"/>
        <w:numPr>
          <w:ilvl w:val="0"/>
          <w:numId w:val="4"/>
        </w:numPr>
        <w:spacing w:lineRule="auto" w:line="240" w:before="0" w:after="0"/>
        <w:ind w:left="0" w:right="-2" w:firstLine="360"/>
        <w:contextualSpacing/>
        <w:jc w:val="both"/>
        <w:rPr>
          <w:rFonts w:ascii="Times New Roman" w:hAnsi="Times New Roman" w:cs="Times New Roman"/>
          <w:bCs/>
          <w:sz w:val="28"/>
          <w:szCs w:val="28"/>
        </w:rPr>
      </w:pPr>
      <w:r>
        <w:rPr>
          <w:rFonts w:cs="Times New Roman" w:ascii="Times New Roman" w:hAnsi="Times New Roman"/>
          <w:sz w:val="28"/>
          <w:szCs w:val="28"/>
        </w:rPr>
        <w:t>Внести в положение об условиях оплаты труда руководителей и работников отдельных муниципальных учреждений, утвержденное постановлением Исполнительного комитета от 30.01.2025 № 561 следующие изменения:</w:t>
      </w:r>
    </w:p>
    <w:p>
      <w:pPr>
        <w:pStyle w:val="ListParagraph"/>
        <w:numPr>
          <w:ilvl w:val="0"/>
          <w:numId w:val="1"/>
        </w:numPr>
        <w:spacing w:lineRule="auto" w:line="240" w:before="0" w:after="0"/>
        <w:ind w:left="720" w:right="-2" w:hanging="360"/>
        <w:contextualSpacing/>
        <w:jc w:val="both"/>
        <w:rPr>
          <w:rFonts w:ascii="Times New Roman" w:hAnsi="Times New Roman" w:cs="Times New Roman"/>
          <w:sz w:val="28"/>
          <w:szCs w:val="28"/>
        </w:rPr>
      </w:pPr>
      <w:r>
        <w:rPr>
          <w:rFonts w:cs="Times New Roman" w:ascii="Times New Roman" w:hAnsi="Times New Roman"/>
          <w:sz w:val="28"/>
          <w:szCs w:val="28"/>
        </w:rPr>
        <w:t>пункт 5 изложить в следующей редакции: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Тарифные коэффициенты и тарифные ставки (оклады) Единой тарифной сетки по оплате труда руководителей и работников учреждений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8"/>
        <w:gridCol w:w="2835"/>
        <w:gridCol w:w="4248"/>
      </w:tblGrid>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Разряды оплаты Единой тарифной сетки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Тарифные коэффициенты</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Тарифные ставки (оклады), рублей</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23 320</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1,0114</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23 586</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1,0233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23 863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1,0346</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24 127</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1,0473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24 423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1,0595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24 707</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1,0728</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25 017</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1,0855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25 314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1,0983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25 612 </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1,1119</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25 929</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1,1251</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26 237</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1,1393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26 568</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1,1535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26 899</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1,1675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27 226</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1,1823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27 573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1,1973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27 921</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1,2124</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28 273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1,2280</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28 637</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Примечание. Размер тарифной ставки (оклада) заместителя руководителя устанавливается на 1 - 2 разряда ниже тарифной ставки (оклада) соответствующего руководителя.»;</w:t>
      </w:r>
    </w:p>
    <w:p>
      <w:pPr>
        <w:pStyle w:val="ListParagraph"/>
        <w:numPr>
          <w:ilvl w:val="0"/>
          <w:numId w:val="1"/>
        </w:numPr>
        <w:spacing w:lineRule="auto" w:line="240" w:before="0" w:after="0"/>
        <w:ind w:left="720" w:right="-2" w:hanging="360"/>
        <w:contextualSpacing/>
        <w:jc w:val="both"/>
        <w:rPr>
          <w:rFonts w:ascii="Times New Roman" w:hAnsi="Times New Roman" w:cs="Times New Roman"/>
          <w:sz w:val="28"/>
          <w:szCs w:val="28"/>
        </w:rPr>
      </w:pPr>
      <w:r>
        <w:rPr>
          <w:rFonts w:cs="Times New Roman" w:ascii="Times New Roman" w:hAnsi="Times New Roman"/>
          <w:sz w:val="28"/>
          <w:szCs w:val="28"/>
        </w:rPr>
        <w:t>пункт 14 изложить в следующей редакции: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«14. Должностные оклады руководителей и специалистов муниципального бюджетного учреждения города Набережные Челны «Агентство по развитию конкурентных закупок», муниципального бюджетного учреждения города Набережные Челны «Архив документов по личному составу»,  муниципального автономного учреждения города Набережные Челны «Дворец торжеств», муниципального бюджетного учреждения города Набережные Челны «Центр производственно-технического обеспечения муниципальных учреждений города» исчисляются кратно к 15 389 рублям. Коэффициенты кратности и размеры должностных окладов указанных руководителей и специалистов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402"/>
        <w:gridCol w:w="2833"/>
        <w:gridCol w:w="3966"/>
      </w:tblGrid>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Коэффициент кратности</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должностного оклада, рублей</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организации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2,25</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34 626</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организации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30 778</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1,65</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25 392</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начальника отдела</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1,55</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23 853</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специалист</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21 545</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Ведущий специалист</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1,17</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18 006</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Специалист I категории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1,12</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17 236</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Специалист II категории</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16 928</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Специалист</w:t>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1,08</w:t>
            </w:r>
          </w:p>
        </w:tc>
        <w:tc>
          <w:tcPr>
            <w:tcW w:w="39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16 621»;</w:t>
            </w:r>
          </w:p>
        </w:tc>
      </w:tr>
    </w:tbl>
    <w:p>
      <w:pPr>
        <w:pStyle w:val="ListParagraph"/>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пункт 15 изложить в следующей редакции: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«15. Размеры должностных окладов руководителя и специалистов муниципального бюджетного учреждения «Центр финансирования муниципальных учреждений города Набережные Челны»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046"/>
        <w:gridCol w:w="5154"/>
      </w:tblGrid>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должностного оклада, рублей</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38 320</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Первый заместитель руководителя;</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36 116</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отдела</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28 258</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начальника отдела</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25 434</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специалист</w:t>
            </w:r>
          </w:p>
        </w:tc>
        <w:tc>
          <w:tcPr>
            <w:tcW w:w="51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23 159</w:t>
            </w:r>
          </w:p>
        </w:tc>
      </w:tr>
      <w:tr>
        <w:trPr/>
        <w:tc>
          <w:tcPr>
            <w:tcW w:w="5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Ведущий специалист</w:t>
            </w:r>
          </w:p>
        </w:tc>
        <w:tc>
          <w:tcPr>
            <w:tcW w:w="515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pacing w:lineRule="auto" w:line="240" w:before="0" w:after="0"/>
              <w:contextualSpacing/>
              <w:jc w:val="center"/>
              <w:rPr>
                <w:rFonts w:ascii="Times New Roman" w:hAnsi="Times New Roman" w:cs="Times New Roman"/>
                <w:sz w:val="28"/>
                <w:szCs w:val="28"/>
              </w:rPr>
            </w:pPr>
            <w:r>
              <w:rPr>
                <w:rFonts w:cs="Times New Roman" w:ascii="Times New Roman" w:hAnsi="Times New Roman"/>
                <w:sz w:val="28"/>
                <w:szCs w:val="28"/>
              </w:rPr>
              <w:t>091»;</w:t>
            </w:r>
          </w:p>
        </w:tc>
      </w:tr>
    </w:tbl>
    <w:p>
      <w:pPr>
        <w:pStyle w:val="ListParagraph"/>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пункт 16 изложить в следующей редакции: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 Коэффициент кратности, применяемый при исчислении размеров должностных окладов служащих отдельных организаций и размер должностного оклада устанавливается в следующих размерах:</w:t>
      </w:r>
    </w:p>
    <w:p>
      <w:pPr>
        <w:pStyle w:val="ListParagraph"/>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tbl>
      <w:tblPr>
        <w:tblW w:w="1026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817"/>
        <w:gridCol w:w="1872"/>
        <w:gridCol w:w="3571"/>
      </w:tblGrid>
      <w:tr>
        <w:trPr/>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должности</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Коэффициент</w:t>
            </w:r>
          </w:p>
        </w:tc>
        <w:tc>
          <w:tcPr>
            <w:tcW w:w="3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должностного оклада в рублях</w:t>
            </w:r>
          </w:p>
        </w:tc>
      </w:tr>
      <w:tr>
        <w:trPr/>
        <w:tc>
          <w:tcPr>
            <w:tcW w:w="48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Заведующий складом, таксировщик, мастер участка (включая старшего)</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357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jc w:val="center"/>
              <w:rPr>
                <w:rFonts w:ascii="Times New Roman" w:hAnsi="Times New Roman" w:cs="Times New Roman"/>
                <w:sz w:val="28"/>
                <w:szCs w:val="28"/>
              </w:rPr>
            </w:pPr>
            <w:r>
              <w:rPr>
                <w:rFonts w:cs="Times New Roman" w:ascii="Times New Roman" w:hAnsi="Times New Roman"/>
                <w:sz w:val="28"/>
                <w:szCs w:val="28"/>
              </w:rPr>
              <w:t>389»;</w:t>
            </w:r>
          </w:p>
        </w:tc>
      </w:tr>
    </w:tbl>
    <w:p>
      <w:pPr>
        <w:pStyle w:val="ListParagraph"/>
        <w:numPr>
          <w:ilvl w:val="0"/>
          <w:numId w:val="1"/>
        </w:numPr>
        <w:spacing w:lineRule="auto" w:line="240" w:before="0" w:after="0"/>
        <w:ind w:left="0" w:firstLine="360"/>
        <w:contextualSpacing/>
        <w:jc w:val="both"/>
        <w:rPr>
          <w:rFonts w:ascii="Times New Roman" w:hAnsi="Times New Roman" w:cs="Times New Roman"/>
          <w:sz w:val="28"/>
          <w:szCs w:val="28"/>
        </w:rPr>
      </w:pPr>
      <w:r>
        <w:rPr>
          <w:rFonts w:cs="Times New Roman" w:ascii="Times New Roman" w:hAnsi="Times New Roman"/>
          <w:sz w:val="28"/>
          <w:szCs w:val="28"/>
        </w:rPr>
        <w:t>пункт 17 изложить в следующей редакции: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 xml:space="preserve">«17. Должностной оклад рабочих, занятых обслуживанием деятельности отдельных организаций, устанавливается в соответствии с Единой тарифной сеткой в следующих размерах: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020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118"/>
        <w:gridCol w:w="2835"/>
        <w:gridCol w:w="4248"/>
      </w:tblGrid>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Разряды оплаты Единой тарифной сетки</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Тарифные коэффициенты</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Тарифные ставки (оклады), рублей</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23 320</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1,0114</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23 586</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1,0233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23 863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1,0346</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24 127</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1,0473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24 423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1,0595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24 707</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1,0728</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25 017</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1,0855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25 314</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9</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1,0983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25 612</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10</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1,1119</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25 929</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1,1251</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26 237</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1,1393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26 568</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1,1535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26 899</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14</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1,1675</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27 226</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15</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1,1823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27 573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16</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1,1973</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27 921</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17</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1,2124</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28 273</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18</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1,2280</w:t>
            </w:r>
          </w:p>
        </w:tc>
        <w:tc>
          <w:tcPr>
            <w:tcW w:w="4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28 637»;</w:t>
            </w:r>
          </w:p>
        </w:tc>
      </w:tr>
    </w:tbl>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в подпункте 3 пункта 20 цифру «37» заменить цифрой «52»;</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таблицу № 1 пункта 28 изложить в следующей редакции:</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Должностные оклады</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руководителя и работников учреждения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006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092"/>
        <w:gridCol w:w="3967"/>
      </w:tblGrid>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Должность, наименование</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Размер должностного оклада (руб.)</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36 517</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Главный бухгалтер</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25 562</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караула</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30 873</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Командир пожарного отделения</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29 864</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Водитель пожарной машины</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26 925</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структурного подразделения единой дежурно-диспетчерской службы</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30 316</w:t>
            </w:r>
          </w:p>
        </w:tc>
      </w:tr>
      <w:tr>
        <w:trPr/>
        <w:tc>
          <w:tcPr>
            <w:tcW w:w="60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Оперативный дежурный</w:t>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23 320».</w:t>
            </w:r>
          </w:p>
        </w:tc>
      </w:tr>
    </w:tbl>
    <w:p>
      <w:pPr>
        <w:pStyle w:val="ListParagraph"/>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Установить, что настоящее постановление вступает в силу со дня официального опубликования и распространяется на правоотношения возникшие с 01.05.2025.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начальника управления финансов  Мулюкову С.Р.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 xml:space="preserve">     </w:t>
        <w:tab/>
        <w:t xml:space="preserve">        Ф.Ш. Салахов</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720" w:right="-2" w:hanging="0"/>
        <w:contextualSpacing/>
        <w:jc w:val="both"/>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993"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2a3bad"/>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36645" TargetMode="External"/><Relationship Id="rId3" Type="http://schemas.openxmlformats.org/officeDocument/2006/relationships/hyperlink" Target="https://login.consultant.ru/link/?req=doc&amp;base=RLAW363&amp;n=136645" TargetMode="External"/><Relationship Id="rId4" Type="http://schemas.openxmlformats.org/officeDocument/2006/relationships/hyperlink" Target="https://login.consultant.ru/link/?req=doc&amp;base=RLAW363&amp;n=123907" TargetMode="External"/><Relationship Id="rId5" Type="http://schemas.openxmlformats.org/officeDocument/2006/relationships/hyperlink" Target="https://login.consultant.ru/link/?req=doc&amp;base=RLAW363&amp;n=136645" TargetMode="External"/><Relationship Id="rId6" Type="http://schemas.openxmlformats.org/officeDocument/2006/relationships/hyperlink" Target="https://login.consultant.ru/link/?req=doc&amp;base=RLAW363&amp;n=136645" TargetMode="External"/><Relationship Id="rId7" Type="http://schemas.openxmlformats.org/officeDocument/2006/relationships/hyperlink" Target="https://login.consultant.ru/link/?req=doc&amp;base=RLAW363&amp;n=144026" TargetMode="External"/><Relationship Id="rId8" Type="http://schemas.openxmlformats.org/officeDocument/2006/relationships/hyperlink" Target="https://login.consultant.ru/link/?req=doc&amp;base=RLAW363&amp;n=144026"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3089-0BC8-4318-AE72-8D3C6139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Application>LibreOffice/7.5.6.2$Linux_X86_64 LibreOffice_project/50$Build-2</Application>
  <AppVersion>15.0000</AppVersion>
  <Pages>6</Pages>
  <Words>967</Words>
  <Characters>6359</Characters>
  <CharactersWithSpaces>7152</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2025-05-12T07:26:00Z</dcterms:created>
  <dc:creator>Ляйсан Р. Галиева</dc:creator>
  <dc:description/>
  <dc:language>ru-RU</dc:language>
  <cp:lastModifiedBy/>
  <dcterms:modified xsi:type="dcterms:W3CDTF">2025-05-15T10:22:21Z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