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4706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5102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внесении изменений в постановление Кабинета Министров Республики Татарстан от 29.08.2013 N 614 «О грантах сельским поселениям и городским поселениям, образованным на основе поселка городского типа, не являющимся административными центрами муниципальных ра</w:t>
      </w:r>
      <w:r>
        <w:rPr>
          <w:rFonts w:ascii="Times New Roman" w:hAnsi="Times New Roman"/>
          <w:sz w:val="28"/>
          <w:szCs w:val="28"/>
        </w:rPr>
        <w:t xml:space="preserve">йонов Республики Татарстан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целях оказания содействия жизнедеятельности населения и повышения качества жизни в сельских поселениях и городских поселениях, образованных на основе поселка городского типа, не являющихся административными центрами муниципальных районов Республики Татарс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тан, Кабинет Министров Республики Татарстан ПОСТАНОВЛЯЕТ: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нести в постановление Кабинета Министров Республики Татарстан от 29.08.2013 № 614 «О грантах сельским поселениям и городским поселениям, образованным на основе поселка городского типа, не являющимися административными центрами муниципальных районов Республ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ки Татарстан» (с изменениями, внесёнными постановлениями Кабинета Министров Республики Татарстан от 11.11.2013 № 866, от 08.05.2014 № 304, от 17.05.2014 № 330, от 26.12.2014 № 1032, от 17.02.2016 № 98, от 30.09.2017 № 733, от 20.03.2018 № 159, от 08.04.201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 274, от 21.05.2019 № 427, от 02.10.2019 № 886, от 31.10.2019 № 985, от 24.12.2019 № 1186, от 25.02.2020 № 140, от 01.04.2020 № 248, от 27.05.2020 № 428, от 31.03.2022 № 295, от 29.09.2022 № 1045, от 29.12.2022 № 1447, от 30.03.2023 № 380, от 22.06.2023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 741, от 14.08.2023 № 980, от 01.03.2024 № 109, от 25.07.2024 № 592, от 02.12.2024 № 1086) следующие изменения: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1.1. В наименовании постановления слова «О грантах» заменить словами «Об иных межбюджетных трансфертах».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1.2. В преамбуле постановления слова: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целях оказания содействия достижению и (или) поощрения достижения наилучших значений показателей деятельности органов местного самоуправления сельских поселений и городских поселений, образованных на основе поселка городского типа, не являющихся админист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ративными центрами муниципальных районов Республики Татарстан, повышения качества жизни населения сельских и городских поселений Республики Татарстан Кабинет Министров Республики Татарстан постановляет»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заменить словами: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целях оказания содействия жизнедеятельности населения и повышения качества жизни в сельских поселениях и городских поселениях, образованных на основе поселка городского типа, не являющихся административными центрами муниципальных районов Республики Татар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стан, Кабинет Министров Республики Татарстан постановляет:»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1.3. В пункте 1 слова «на предоставление грантов» заменить словами «на предоставление иных межбюджетных трансфертов».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1.4. В пункте 2: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в абзаце третьем слова «по проведению Республиканского конкурса на предоставление грантов» заменить словами «по проведению Республиканского конкурса на предоставление 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в абзаце четвертом слова «Порядок предоставления и использования грантов» заменить словами «Порядок предоставления и использования иных межбюджетных трансфертов».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1.5. В пункте 2.1 слова «Порядка предоставления и использования грантов» заменить словами «Порядка предоставления и использования иных межбюджетных трансфертов».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1.6. В наименовании состава организационного комитета по проведению Республиканского конкурса слова «на предоставление грантов» заменить словами «на предоставление иных межбюджетных трансфертов».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1.7. В Положении об организационном комитете по проведению Республиканского конкурса: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в наименовании слова «на предоставление грантов» заменить словами «на предоставление 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 в пункте 1.1 слова «Республиканского конкурса на предоставление грантов» заменить словами «Республиканского конкурса на предоставление иных межбюджетных трансфертов», слова «Порядком предоставления и использования грантов» заменить словами «Порядком пред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оставления и использования иных межбюджетных трансфертов».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1.8. В Порядке предоставления и использования грантов сельскими поселениями и городскими поселениями, образованными на основе поселка городского типа, не являющимися административными центрами муниципальных районов Республики Татарстан: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в наименовании слово «грантов» заменить словами «иных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в пункте 1.1 слово «грантов» заменить словами «иных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в) в пункте 2.1 слово «Грант» заменить словами «Иной межбюджетный трансферт»; слова «грантополучатели» заменить словами «получатели 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г) в пункте 4.1 слова «размера гранта» заменить словами «размера 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д) в пункте 4.6 слова «на получение гранта» заменить словами «на получение 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е) в пункте 4.11 слова «для предоставления грантов» заменить словами «для предоставления 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ж) в наименовании раздела 5 слова «Порядок предоставления и использования грантов» заменить словами «Порядок предоставления и использования 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з) в пункте 5.1 слова «договор о предоставлении гранта» заменить словами «договор о предоставлении 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и) в пункте 5.2 слова «перечисляет гранты» заменить словами «перечисляет иные межбюджетные трансферты»;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к) в пункте 5.3 слова «использовать гранты» заменить словами «использовать иные межбюджетные трансферты»;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л) в пункте 5.4 слово «гранта» заменить словами «иных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м) в пункте 5.5 слово «гранта» заменить словами «иных межбюджетных трансфертов».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1.9. В приложениях к Порядку предоставления и использования грантов сельскими поселениями и городскими поселениями, образованными на основе поселка городского типа, не являющимися административными центрами муниципальных районов Республики Татарстан: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а) в наименовании Приложения № 1 слово «грантов» заменить словами «иных межбюджетных трансфертов»;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б) в наименовании Приложения № 2 слово «грантов» заменить словами «иных межбюджетных трансфертов».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Установить, что действие настоящего постановления распространяется на правоотношения, возникшие с 1 марта 2025 года.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Министерство экономики Республики Татарстан.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Премьер-министр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28" w:lineRule="auto"/>
        <w:widowControl w:val="off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Республики Татарстан                    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А.В.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Песошин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shd w:val="nil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80"/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pStyle w:val="680"/>
        <w:ind w:right="-1" w:firstLine="0"/>
        <w:jc w:val="center"/>
        <w:spacing w:before="0"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к проекту постановления Кабинета Министров Республики Татарстан</w:t>
      </w:r>
      <w:r/>
      <w:r/>
    </w:p>
    <w:p>
      <w:pPr>
        <w:pStyle w:val="680"/>
        <w:ind w:right="-1" w:firstLine="0"/>
        <w:jc w:val="center"/>
        <w:spacing w:before="0"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«О внесении изменений в постановление Кабинета Министров Республики Татарстан от 29.08.2013 № 614»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pStyle w:val="680"/>
        <w:ind w:firstLine="720"/>
        <w:jc w:val="both"/>
        <w:spacing w:before="0" w:after="0" w:line="312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 целях приведения в соответствие с современными подходами к бюджетному регулированию и для устранения правовой неопределённости, возникшей в связи с изменениями федерального законодательства, подготовлен проект постановления Кабинета Министров Республики Т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атарстан о внесении изменений в постановление от 29.08.2013 № 614 «О грантах сельским поселениям и городским поселениям, образованным на основе поселка городского типа, не являющимися административными центрами муниципальных районов Республики Татарстан».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Ф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едеральным законом от 08.08.2024 № 232-ФЗ внесены изменения в статью 18.1 Федерального закона от 06.10.2003 № 131-ФЗ «Об общих принципах организации местного самоуправления в Российской Федерации», согласно которым предоставление бюджетной поддержки в форм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 грантов муниципальным образованиям отнесено к исключительной компетенции высшего должностного лица субъекта Российской Федерации. В этой связи возникла необходимость приведения терминологии и структуры региональных правовых актов в соответствие с действую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щими требованиями федерального законодательства.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В проекте постановления: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ктуализирована преамбула, уточняющая, что меры поддержки реализуются «в целях оказания содействия жизнедеятельности населения и повышения качества жизни в сельских поселениях и городских поселениях, образованных на основе поселка городского типа, не являющ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ихся административными центрами муниципальных районов Республики Татарстан»;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по всему тексту постановления, в утверждённых им документах и приложениях слово «грант» в любых формах заменено на «иные межбюджетные трансферты» в соответствующих падежах;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предусмотрены технические и редакционные изменения в связи с обновлением терминологии.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Реализация данных изменений позволит:</w:t>
      </w:r>
      <w:r/>
      <w:r/>
    </w:p>
    <w:p>
      <w:pPr>
        <w:contextualSpacing/>
        <w:ind w:left="0" w:right="0" w:firstLine="708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уточнить правовое регулирование бюджетной поддержки сельских и городских поселений, образованных на основе поселка городского типа, не являющихся административными центрами муниципальных районов;</w:t>
      </w:r>
      <w:r/>
      <w:r/>
    </w:p>
    <w:p>
      <w:pPr>
        <w:contextualSpacing/>
        <w:ind w:left="0" w:right="0" w:firstLine="708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2.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обеспечить соответствие регионального порядка предоставления поддержки требованиям федерального законодательства;</w:t>
      </w:r>
      <w:r/>
      <w:r/>
    </w:p>
    <w:p>
      <w:pPr>
        <w:contextualSpacing/>
        <w:ind w:left="0" w:right="0" w:firstLine="708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повысить прозрачность и целенаправленность оказания поддержки;</w:t>
      </w:r>
      <w:r/>
      <w:r/>
    </w:p>
    <w:p>
      <w:pPr>
        <w:contextualSpacing/>
        <w:ind w:left="0" w:right="0" w:firstLine="708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4. 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устранить риски правовой неопределённости с учётом современных бюджетных процедур.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Предусмотрено, что действие настоящего постановления распространяется на правоотношения, возникшие с 1 марта 2025 года.</w:t>
      </w:r>
      <w:r/>
      <w:r/>
    </w:p>
    <w:p>
      <w:pPr>
        <w:contextualSpacing/>
        <w:ind w:left="0" w:right="0" w:firstLine="709"/>
        <w:jc w:val="both"/>
        <w:spacing w:line="240" w:lineRule="auto"/>
        <w:shd w:val="nil" w:color="000000"/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  <w:t xml:space="preserve">Внесение изменений в постановление не потребует дополнительных расходов из бюджета Республики Татарстан.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egoe UI">
    <w:panose1 w:val="020B0502040204020203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  <w:jc w:val="center"/>
      <w:rPr>
        <w:rFonts w:ascii="Times New Roman" w:hAnsi="Times New Roman"/>
        <w:sz w:val="28"/>
        <w:szCs w:val="24"/>
      </w:rPr>
    </w:pPr>
    <w:r>
      <w:rPr>
        <w:rFonts w:ascii="Times New Roman" w:hAnsi="Times New Roman"/>
        <w:sz w:val="28"/>
        <w:szCs w:val="24"/>
      </w:rPr>
      <w:fldChar w:fldCharType="begin"/>
    </w:r>
    <w:r>
      <w:rPr>
        <w:rFonts w:ascii="Times New Roman" w:hAnsi="Times New Roman"/>
        <w:sz w:val="28"/>
        <w:szCs w:val="24"/>
      </w:rPr>
      <w:instrText xml:space="preserve"> PAGE </w:instrText>
    </w:r>
    <w:r>
      <w:rPr>
        <w:rFonts w:ascii="Times New Roman" w:hAnsi="Times New Roman"/>
        <w:sz w:val="28"/>
        <w:szCs w:val="24"/>
      </w:rPr>
      <w:fldChar w:fldCharType="separate"/>
    </w:r>
    <w:r>
      <w:rPr>
        <w:rFonts w:ascii="Times New Roman" w:hAnsi="Times New Roman"/>
        <w:sz w:val="28"/>
        <w:szCs w:val="24"/>
      </w:rPr>
      <w:t xml:space="preserve">4</w:t>
    </w:r>
    <w:r>
      <w:rPr>
        <w:rFonts w:ascii="Times New Roman" w:hAnsi="Times New Roman"/>
        <w:sz w:val="28"/>
        <w:szCs w:val="24"/>
      </w:rPr>
      <w:fldChar w:fldCharType="end"/>
    </w:r>
    <w:r>
      <w:rPr>
        <w:rFonts w:ascii="Times New Roman" w:hAnsi="Times New Roman"/>
        <w:sz w:val="28"/>
        <w:szCs w:val="24"/>
      </w:rPr>
    </w:r>
    <w:r>
      <w:rPr>
        <w:rFonts w:ascii="Times New Roman" w:hAnsi="Times New Roman"/>
        <w:sz w:val="28"/>
        <w:szCs w:val="24"/>
      </w:rPr>
    </w:r>
  </w:p>
  <w:p>
    <w:pPr>
      <w:pStyle w:val="743"/>
      <w:jc w:val="center"/>
      <w:rPr>
        <w:sz w:val="28"/>
        <w:szCs w:val="24"/>
      </w:rPr>
    </w:pPr>
    <w:r>
      <w:rPr>
        <w:sz w:val="28"/>
        <w:szCs w:val="24"/>
      </w:rPr>
    </w:r>
    <w:r>
      <w:rPr>
        <w:sz w:val="28"/>
        <w:szCs w:val="24"/>
      </w:rPr>
    </w:r>
    <w:r>
      <w:rPr>
        <w:sz w:val="28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81">
    <w:name w:val="Heading 1"/>
    <w:basedOn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7">
    <w:name w:val="Heading 7"/>
    <w:basedOn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8">
    <w:name w:val="Heading 8"/>
    <w:basedOn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9">
    <w:name w:val="Heading 9"/>
    <w:basedOn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qFormat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qFormat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qFormat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Heading 7 Char"/>
    <w:basedOn w:val="6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8 Char"/>
    <w:basedOn w:val="69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Heading 9 Char"/>
    <w:basedOn w:val="6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2" w:customStyle="1">
    <w:name w:val="Title Char"/>
    <w:basedOn w:val="690"/>
    <w:uiPriority w:val="10"/>
    <w:qFormat/>
    <w:rPr>
      <w:sz w:val="48"/>
      <w:szCs w:val="48"/>
    </w:rPr>
  </w:style>
  <w:style w:type="character" w:styleId="703" w:customStyle="1">
    <w:name w:val="Subtitle Char"/>
    <w:basedOn w:val="690"/>
    <w:uiPriority w:val="11"/>
    <w:qFormat/>
    <w:rPr>
      <w:sz w:val="24"/>
      <w:szCs w:val="24"/>
    </w:rPr>
  </w:style>
  <w:style w:type="character" w:styleId="704" w:customStyle="1">
    <w:name w:val="Quote Char"/>
    <w:uiPriority w:val="29"/>
    <w:qFormat/>
    <w:rPr>
      <w:i/>
    </w:rPr>
  </w:style>
  <w:style w:type="character" w:styleId="705" w:customStyle="1">
    <w:name w:val="Intense Quote Char"/>
    <w:uiPriority w:val="30"/>
    <w:qFormat/>
    <w:rPr>
      <w:i/>
    </w:rPr>
  </w:style>
  <w:style w:type="character" w:styleId="706" w:customStyle="1">
    <w:name w:val="Header Char"/>
    <w:basedOn w:val="690"/>
    <w:uiPriority w:val="99"/>
    <w:qFormat/>
  </w:style>
  <w:style w:type="character" w:styleId="707" w:customStyle="1">
    <w:name w:val="Footer Char"/>
    <w:basedOn w:val="690"/>
    <w:uiPriority w:val="99"/>
    <w:qFormat/>
  </w:style>
  <w:style w:type="character" w:styleId="708" w:customStyle="1">
    <w:name w:val="Caption Char"/>
    <w:uiPriority w:val="99"/>
    <w:qFormat/>
  </w:style>
  <w:style w:type="character" w:styleId="709" w:customStyle="1">
    <w:name w:val="Footnote Text Char"/>
    <w:uiPriority w:val="99"/>
    <w:qFormat/>
    <w:rPr>
      <w:sz w:val="18"/>
    </w:rPr>
  </w:style>
  <w:style w:type="character" w:styleId="710" w:customStyle="1">
    <w:name w:val="Символ сноски"/>
    <w:uiPriority w:val="99"/>
    <w:unhideWhenUsed/>
    <w:qFormat/>
    <w:rPr>
      <w:vertAlign w:val="superscript"/>
    </w:rPr>
  </w:style>
  <w:style w:type="character" w:styleId="711">
    <w:name w:val="footnote reference"/>
    <w:rPr>
      <w:vertAlign w:val="superscript"/>
    </w:rPr>
  </w:style>
  <w:style w:type="character" w:styleId="712" w:customStyle="1">
    <w:name w:val="Endnote Text Char"/>
    <w:uiPriority w:val="99"/>
    <w:qFormat/>
    <w:rPr>
      <w:sz w:val="20"/>
    </w:rPr>
  </w:style>
  <w:style w:type="character" w:styleId="713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14">
    <w:name w:val="endnote reference"/>
    <w:rPr>
      <w:vertAlign w:val="superscript"/>
    </w:rPr>
  </w:style>
  <w:style w:type="character" w:styleId="715" w:customStyle="1">
    <w:name w:val="Верхний колонтитул Знак"/>
    <w:basedOn w:val="690"/>
    <w:uiPriority w:val="99"/>
    <w:qFormat/>
  </w:style>
  <w:style w:type="character" w:styleId="716">
    <w:name w:val="Hyperlink"/>
    <w:uiPriority w:val="99"/>
    <w:unhideWhenUsed/>
    <w:rPr>
      <w:color w:val="0563c1"/>
      <w:u w:val="single"/>
    </w:rPr>
  </w:style>
  <w:style w:type="character" w:styleId="717" w:customStyle="1">
    <w:name w:val="Текст выноски Знак"/>
    <w:uiPriority w:val="99"/>
    <w:semiHidden/>
    <w:qFormat/>
    <w:rPr>
      <w:rFonts w:ascii="Segoe UI" w:hAnsi="Segoe UI" w:cs="Segoe UI"/>
      <w:sz w:val="18"/>
      <w:szCs w:val="18"/>
    </w:rPr>
  </w:style>
  <w:style w:type="character" w:styleId="718" w:customStyle="1">
    <w:name w:val="Нижний колонтитул Знак"/>
    <w:basedOn w:val="690"/>
    <w:uiPriority w:val="99"/>
    <w:qFormat/>
  </w:style>
  <w:style w:type="character" w:styleId="719">
    <w:name w:val="Placeholder Text"/>
    <w:basedOn w:val="690"/>
    <w:uiPriority w:val="99"/>
    <w:semiHidden/>
    <w:qFormat/>
    <w:rPr>
      <w:color w:val="808080"/>
    </w:rPr>
  </w:style>
  <w:style w:type="character" w:styleId="720">
    <w:name w:val="Emphasis"/>
    <w:basedOn w:val="690"/>
    <w:uiPriority w:val="20"/>
    <w:qFormat/>
    <w:rPr>
      <w:i/>
      <w:iCs/>
    </w:rPr>
  </w:style>
  <w:style w:type="paragraph" w:styleId="721">
    <w:name w:val="Title"/>
    <w:basedOn w:val="680"/>
    <w:next w:val="7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2">
    <w:name w:val="Body Text"/>
    <w:basedOn w:val="680"/>
    <w:pPr>
      <w:spacing w:after="140" w:line="276" w:lineRule="auto"/>
    </w:pPr>
  </w:style>
  <w:style w:type="paragraph" w:styleId="723">
    <w:name w:val="List"/>
    <w:basedOn w:val="722"/>
    <w:rPr>
      <w:rFonts w:ascii="PT Astra Serif" w:hAnsi="PT Astra Serif" w:cs="Noto Sans Devanagari"/>
    </w:rPr>
  </w:style>
  <w:style w:type="paragraph" w:styleId="724">
    <w:name w:val="Caption"/>
    <w:basedOn w:val="680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725">
    <w:name w:val="index heading"/>
    <w:basedOn w:val="721"/>
  </w:style>
  <w:style w:type="paragraph" w:styleId="726">
    <w:name w:val="Subtitle"/>
    <w:basedOn w:val="680"/>
    <w:uiPriority w:val="11"/>
    <w:qFormat/>
    <w:pPr>
      <w:spacing w:before="200" w:after="200"/>
    </w:pPr>
    <w:rPr>
      <w:sz w:val="24"/>
      <w:szCs w:val="24"/>
    </w:rPr>
  </w:style>
  <w:style w:type="paragraph" w:styleId="727">
    <w:name w:val="Quote"/>
    <w:basedOn w:val="680"/>
    <w:uiPriority w:val="29"/>
    <w:qFormat/>
    <w:pPr>
      <w:ind w:left="720" w:right="720"/>
    </w:pPr>
    <w:rPr>
      <w:i/>
    </w:rPr>
  </w:style>
  <w:style w:type="paragraph" w:styleId="728">
    <w:name w:val="Intense Quote"/>
    <w:basedOn w:val="680"/>
    <w:uiPriority w:val="30"/>
    <w:qFormat/>
    <w:pPr>
      <w:ind w:left="720" w:right="720"/>
      <w:spacing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9">
    <w:name w:val="footnote text"/>
    <w:basedOn w:val="680"/>
    <w:uiPriority w:val="99"/>
    <w:semiHidden/>
    <w:unhideWhenUsed/>
    <w:pPr>
      <w:spacing w:after="40" w:line="240" w:lineRule="auto"/>
    </w:pPr>
    <w:rPr>
      <w:sz w:val="18"/>
    </w:rPr>
  </w:style>
  <w:style w:type="paragraph" w:styleId="730">
    <w:name w:val="endnote text"/>
    <w:basedOn w:val="680"/>
    <w:uiPriority w:val="99"/>
    <w:semiHidden/>
    <w:unhideWhenUsed/>
    <w:pPr>
      <w:spacing w:after="0" w:line="240" w:lineRule="auto"/>
    </w:pPr>
    <w:rPr>
      <w:sz w:val="20"/>
    </w:rPr>
  </w:style>
  <w:style w:type="paragraph" w:styleId="731">
    <w:name w:val="toc 1"/>
    <w:basedOn w:val="680"/>
    <w:uiPriority w:val="39"/>
    <w:unhideWhenUsed/>
    <w:pPr>
      <w:spacing w:after="57"/>
    </w:pPr>
  </w:style>
  <w:style w:type="paragraph" w:styleId="732">
    <w:name w:val="toc 2"/>
    <w:basedOn w:val="680"/>
    <w:uiPriority w:val="39"/>
    <w:unhideWhenUsed/>
    <w:pPr>
      <w:ind w:left="283"/>
      <w:spacing w:after="57"/>
    </w:pPr>
  </w:style>
  <w:style w:type="paragraph" w:styleId="733">
    <w:name w:val="toc 3"/>
    <w:basedOn w:val="680"/>
    <w:uiPriority w:val="39"/>
    <w:unhideWhenUsed/>
    <w:pPr>
      <w:ind w:left="567"/>
      <w:spacing w:after="57"/>
    </w:pPr>
  </w:style>
  <w:style w:type="paragraph" w:styleId="734">
    <w:name w:val="toc 4"/>
    <w:basedOn w:val="680"/>
    <w:uiPriority w:val="39"/>
    <w:unhideWhenUsed/>
    <w:pPr>
      <w:ind w:left="850"/>
      <w:spacing w:after="57"/>
    </w:pPr>
  </w:style>
  <w:style w:type="paragraph" w:styleId="735">
    <w:name w:val="toc 5"/>
    <w:basedOn w:val="680"/>
    <w:uiPriority w:val="39"/>
    <w:unhideWhenUsed/>
    <w:pPr>
      <w:ind w:left="1134"/>
      <w:spacing w:after="57"/>
    </w:pPr>
  </w:style>
  <w:style w:type="paragraph" w:styleId="736">
    <w:name w:val="toc 6"/>
    <w:basedOn w:val="680"/>
    <w:uiPriority w:val="39"/>
    <w:unhideWhenUsed/>
    <w:pPr>
      <w:ind w:left="1417"/>
      <w:spacing w:after="57"/>
    </w:pPr>
  </w:style>
  <w:style w:type="paragraph" w:styleId="737">
    <w:name w:val="toc 7"/>
    <w:basedOn w:val="680"/>
    <w:uiPriority w:val="39"/>
    <w:unhideWhenUsed/>
    <w:pPr>
      <w:ind w:left="1701"/>
      <w:spacing w:after="57"/>
    </w:pPr>
  </w:style>
  <w:style w:type="paragraph" w:styleId="738">
    <w:name w:val="toc 8"/>
    <w:basedOn w:val="680"/>
    <w:uiPriority w:val="39"/>
    <w:unhideWhenUsed/>
    <w:pPr>
      <w:ind w:left="1984"/>
      <w:spacing w:after="57"/>
    </w:pPr>
  </w:style>
  <w:style w:type="paragraph" w:styleId="739">
    <w:name w:val="toc 9"/>
    <w:basedOn w:val="680"/>
    <w:uiPriority w:val="39"/>
    <w:unhideWhenUsed/>
    <w:pPr>
      <w:ind w:left="2268"/>
      <w:spacing w:after="57"/>
    </w:pPr>
  </w:style>
  <w:style w:type="paragraph" w:styleId="740">
    <w:name w:val="TOC Heading"/>
    <w:uiPriority w:val="39"/>
    <w:unhideWhenUsed/>
    <w:qFormat/>
  </w:style>
  <w:style w:type="paragraph" w:styleId="741">
    <w:name w:val="table of figures"/>
    <w:basedOn w:val="680"/>
    <w:uiPriority w:val="99"/>
    <w:unhideWhenUsed/>
    <w:qFormat/>
    <w:pPr>
      <w:spacing w:after="0"/>
    </w:pPr>
  </w:style>
  <w:style w:type="paragraph" w:styleId="742" w:customStyle="1">
    <w:name w:val="Колонтитул"/>
    <w:basedOn w:val="680"/>
    <w:qFormat/>
  </w:style>
  <w:style w:type="paragraph" w:styleId="743">
    <w:name w:val="Header"/>
    <w:basedOn w:val="6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44" w:customStyle="1">
    <w:name w:val="ConsPlusNormal"/>
    <w:qFormat/>
    <w:pPr>
      <w:widowControl w:val="off"/>
    </w:pPr>
    <w:rPr>
      <w:rFonts w:eastAsia="Times New Roman" w:cs="Calibri"/>
      <w:sz w:val="22"/>
    </w:rPr>
  </w:style>
  <w:style w:type="paragraph" w:styleId="745">
    <w:name w:val="No Spacing"/>
    <w:uiPriority w:val="1"/>
    <w:qFormat/>
    <w:rPr>
      <w:sz w:val="22"/>
      <w:szCs w:val="22"/>
      <w:lang w:eastAsia="en-US"/>
    </w:rPr>
  </w:style>
  <w:style w:type="paragraph" w:styleId="746">
    <w:name w:val="Balloon Text"/>
    <w:basedOn w:val="68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47">
    <w:name w:val="List Paragraph"/>
    <w:basedOn w:val="680"/>
    <w:uiPriority w:val="34"/>
    <w:qFormat/>
    <w:pPr>
      <w:contextualSpacing/>
      <w:ind w:left="720"/>
    </w:pPr>
  </w:style>
  <w:style w:type="paragraph" w:styleId="748">
    <w:name w:val="Footer"/>
    <w:basedOn w:val="6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49" w:customStyle="1">
    <w:name w:val="Default"/>
    <w:qFormat/>
    <w:rPr>
      <w:rFonts w:ascii="Times New Roman" w:hAnsi="Times New Roman"/>
      <w:color w:val="000000"/>
      <w:sz w:val="24"/>
      <w:szCs w:val="24"/>
    </w:rPr>
  </w:style>
  <w:style w:type="paragraph" w:styleId="750" w:customStyle="1">
    <w:name w:val="Содержимое таблицы"/>
    <w:basedOn w:val="680"/>
    <w:qFormat/>
    <w:pPr>
      <w:widowControl w:val="off"/>
      <w:suppressLineNumbers/>
    </w:pPr>
  </w:style>
  <w:style w:type="paragraph" w:styleId="751" w:customStyle="1">
    <w:name w:val="Заголовок таблицы"/>
    <w:basedOn w:val="750"/>
    <w:qFormat/>
    <w:pPr>
      <w:jc w:val="center"/>
    </w:pPr>
    <w:rPr>
      <w:b/>
      <w:bCs/>
    </w:rPr>
  </w:style>
  <w:style w:type="table" w:styleId="752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5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56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57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58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0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1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783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784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785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22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3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4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5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6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7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8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29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7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8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9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0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1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2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3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46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47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48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49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5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58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59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60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1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62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63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64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66" w:customStyle="1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67" w:customStyle="1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68" w:customStyle="1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69" w:customStyle="1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70" w:customStyle="1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71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2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74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75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76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77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C2258-DA00-428F-9523-973F6688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Зиганшина Ландыш Азатовна</dc:creator>
  <dc:description/>
  <dc:language>ru-RU</dc:language>
  <cp:revision>16</cp:revision>
  <dcterms:created xsi:type="dcterms:W3CDTF">2024-12-26T12:10:00Z</dcterms:created>
  <dcterms:modified xsi:type="dcterms:W3CDTF">2025-05-30T12:34:12Z</dcterms:modified>
</cp:coreProperties>
</file>