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9E121D" w:rsidRPr="009E121D">
        <w:rPr>
          <w:rFonts w:ascii="Arial" w:hAnsi="Arial" w:cs="Arial"/>
        </w:rPr>
        <w:t>Азеев</w:t>
      </w:r>
      <w:r w:rsidRPr="009E121D">
        <w:rPr>
          <w:rFonts w:ascii="Arial" w:hAnsi="Arial" w:cs="Arial"/>
        </w:rPr>
        <w:t>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9E121D" w:rsidRPr="009E121D">
        <w:rPr>
          <w:rFonts w:ascii="Arial" w:hAnsi="Arial" w:cs="Arial"/>
          <w:bCs/>
        </w:rPr>
        <w:t>Азеев</w:t>
      </w:r>
      <w:r w:rsidRPr="009E121D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Pr="009E121D">
        <w:rPr>
          <w:rFonts w:ascii="Arial" w:hAnsi="Arial" w:cs="Arial"/>
          <w:bCs/>
        </w:rPr>
        <w:t>28.12.2021 №</w:t>
      </w:r>
      <w:r w:rsidR="00A50A90" w:rsidRPr="009E121D">
        <w:rPr>
          <w:rFonts w:ascii="Arial" w:hAnsi="Arial" w:cs="Arial"/>
          <w:bCs/>
        </w:rPr>
        <w:t xml:space="preserve"> </w:t>
      </w:r>
      <w:r w:rsidR="009E121D" w:rsidRPr="009E121D">
        <w:rPr>
          <w:rFonts w:ascii="Arial" w:hAnsi="Arial" w:cs="Arial"/>
          <w:bCs/>
        </w:rPr>
        <w:t>18-57</w:t>
      </w:r>
      <w:r w:rsidRPr="00371FEF">
        <w:rPr>
          <w:rFonts w:ascii="Arial" w:hAnsi="Arial" w:cs="Arial"/>
          <w:bCs/>
        </w:rPr>
        <w:t xml:space="preserve"> 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9E121D" w:rsidRPr="009E121D">
        <w:rPr>
          <w:rFonts w:ascii="Arial" w:hAnsi="Arial" w:cs="Arial"/>
          <w:bCs/>
        </w:rPr>
        <w:t>Азеев</w:t>
      </w:r>
      <w:r w:rsidRPr="009E121D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="009E121D" w:rsidRPr="009E121D">
        <w:rPr>
          <w:bCs/>
        </w:rPr>
        <w:t>«Азеев</w:t>
      </w:r>
      <w:r w:rsidRPr="009E121D">
        <w:rPr>
          <w:bCs/>
        </w:rPr>
        <w:t>ское сельское поселение» Новошешминского муниципального района Республики Татарстан</w:t>
      </w:r>
      <w:r w:rsidR="00E22ECD">
        <w:rPr>
          <w:bCs/>
        </w:rPr>
        <w:t>, Совет Азеев</w:t>
      </w:r>
      <w:bookmarkStart w:id="0" w:name="_GoBack"/>
      <w:bookmarkEnd w:id="0"/>
      <w:r w:rsidRPr="00371FEF">
        <w:rPr>
          <w:bCs/>
        </w:rPr>
        <w:t>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725E8F" w:rsidRPr="00725E8F">
        <w:rPr>
          <w:rFonts w:ascii="Arial" w:hAnsi="Arial" w:cs="Arial"/>
          <w:bCs/>
        </w:rPr>
        <w:t>Азеев</w:t>
      </w:r>
      <w:r w:rsidRPr="00725E8F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725E8F" w:rsidRPr="00725E8F">
        <w:rPr>
          <w:rFonts w:ascii="Arial" w:hAnsi="Arial" w:cs="Arial"/>
          <w:bCs/>
        </w:rPr>
        <w:t>Азеев</w:t>
      </w:r>
      <w:r w:rsidRPr="00725E8F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</w:t>
      </w:r>
      <w:r w:rsidRPr="00725E8F">
        <w:rPr>
          <w:rFonts w:ascii="Arial" w:hAnsi="Arial" w:cs="Arial"/>
          <w:bCs/>
        </w:rPr>
        <w:t>28.12</w:t>
      </w:r>
      <w:r w:rsidR="00E56688" w:rsidRPr="00725E8F">
        <w:rPr>
          <w:rFonts w:ascii="Arial" w:hAnsi="Arial" w:cs="Arial"/>
          <w:bCs/>
        </w:rPr>
        <w:t>.2021 №</w:t>
      </w:r>
      <w:r w:rsidR="00A50A90" w:rsidRPr="00725E8F">
        <w:rPr>
          <w:rFonts w:ascii="Arial" w:hAnsi="Arial" w:cs="Arial"/>
          <w:bCs/>
        </w:rPr>
        <w:t xml:space="preserve"> </w:t>
      </w:r>
      <w:r w:rsidR="00725E8F" w:rsidRPr="00725E8F">
        <w:rPr>
          <w:rFonts w:ascii="Arial" w:hAnsi="Arial" w:cs="Arial"/>
          <w:bCs/>
        </w:rPr>
        <w:t>18-57</w:t>
      </w:r>
      <w:r w:rsidR="00E56688" w:rsidRPr="00371FEF">
        <w:rPr>
          <w:rFonts w:ascii="Arial" w:hAnsi="Arial" w:cs="Arial"/>
          <w:bCs/>
        </w:rPr>
        <w:t xml:space="preserve"> (в редакции </w:t>
      </w:r>
      <w:r w:rsidR="00A50A90" w:rsidRPr="00371FEF">
        <w:rPr>
          <w:rFonts w:ascii="Arial" w:hAnsi="Arial" w:cs="Arial"/>
          <w:bCs/>
        </w:rPr>
        <w:t>решений</w:t>
      </w:r>
      <w:r w:rsidRPr="00371FEF">
        <w:rPr>
          <w:rFonts w:ascii="Arial" w:hAnsi="Arial" w:cs="Arial"/>
          <w:bCs/>
        </w:rPr>
        <w:t xml:space="preserve"> Совета </w:t>
      </w:r>
      <w:r w:rsidR="00725E8F" w:rsidRPr="00725E8F">
        <w:rPr>
          <w:rFonts w:ascii="Arial" w:hAnsi="Arial" w:cs="Arial"/>
          <w:bCs/>
        </w:rPr>
        <w:t>Азеев</w:t>
      </w:r>
      <w:r w:rsidRPr="00725E8F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 </w:t>
      </w:r>
      <w:r w:rsidR="00725E8F" w:rsidRPr="00725E8F">
        <w:rPr>
          <w:rFonts w:ascii="Arial" w:hAnsi="Arial" w:cs="Arial"/>
          <w:bCs/>
        </w:rPr>
        <w:t>от 18</w:t>
      </w:r>
      <w:r w:rsidRPr="00725E8F">
        <w:rPr>
          <w:rFonts w:ascii="Arial" w:hAnsi="Arial" w:cs="Arial"/>
          <w:bCs/>
        </w:rPr>
        <w:t>.12.2023 №</w:t>
      </w:r>
      <w:r w:rsidR="00A50A90" w:rsidRPr="00725E8F">
        <w:rPr>
          <w:rFonts w:ascii="Arial" w:hAnsi="Arial" w:cs="Arial"/>
          <w:bCs/>
        </w:rPr>
        <w:t xml:space="preserve"> </w:t>
      </w:r>
      <w:r w:rsidR="00725E8F" w:rsidRPr="00725E8F">
        <w:rPr>
          <w:rFonts w:ascii="Arial" w:hAnsi="Arial" w:cs="Arial"/>
          <w:bCs/>
        </w:rPr>
        <w:t>40-128</w:t>
      </w:r>
      <w:r w:rsidRPr="00725E8F">
        <w:rPr>
          <w:rFonts w:ascii="Arial" w:hAnsi="Arial" w:cs="Arial"/>
          <w:bCs/>
        </w:rPr>
        <w:t xml:space="preserve">; </w:t>
      </w:r>
      <w:r w:rsidR="00725E8F" w:rsidRPr="00725E8F">
        <w:rPr>
          <w:rFonts w:ascii="Arial" w:hAnsi="Arial" w:cs="Arial"/>
          <w:bCs/>
        </w:rPr>
        <w:t>02</w:t>
      </w:r>
      <w:r w:rsidRPr="00725E8F">
        <w:rPr>
          <w:rFonts w:ascii="Arial" w:hAnsi="Arial" w:cs="Arial"/>
          <w:bCs/>
        </w:rPr>
        <w:t>.03.2024 №</w:t>
      </w:r>
      <w:r w:rsidR="00A50A90" w:rsidRPr="00725E8F">
        <w:rPr>
          <w:rFonts w:ascii="Arial" w:hAnsi="Arial" w:cs="Arial"/>
          <w:bCs/>
        </w:rPr>
        <w:t xml:space="preserve"> </w:t>
      </w:r>
      <w:r w:rsidR="00725E8F" w:rsidRPr="00725E8F">
        <w:rPr>
          <w:rFonts w:ascii="Arial" w:hAnsi="Arial" w:cs="Arial"/>
          <w:bCs/>
        </w:rPr>
        <w:t>43-134; 27</w:t>
      </w:r>
      <w:r w:rsidRPr="00725E8F">
        <w:rPr>
          <w:rFonts w:ascii="Arial" w:hAnsi="Arial" w:cs="Arial"/>
          <w:bCs/>
        </w:rPr>
        <w:t>.11.2024 №</w:t>
      </w:r>
      <w:r w:rsidR="00A50A90" w:rsidRPr="00725E8F">
        <w:rPr>
          <w:rFonts w:ascii="Arial" w:hAnsi="Arial" w:cs="Arial"/>
          <w:bCs/>
        </w:rPr>
        <w:t xml:space="preserve"> </w:t>
      </w:r>
      <w:r w:rsidR="00725E8F" w:rsidRPr="00725E8F">
        <w:rPr>
          <w:rFonts w:ascii="Arial" w:hAnsi="Arial" w:cs="Arial"/>
          <w:bCs/>
        </w:rPr>
        <w:t>49-149; 21.02</w:t>
      </w:r>
      <w:r w:rsidR="00B217DA" w:rsidRPr="00725E8F">
        <w:rPr>
          <w:rFonts w:ascii="Arial" w:hAnsi="Arial" w:cs="Arial"/>
          <w:bCs/>
        </w:rPr>
        <w:t>.2025 №</w:t>
      </w:r>
      <w:r w:rsidR="00B40AD6" w:rsidRPr="00725E8F">
        <w:rPr>
          <w:rFonts w:ascii="Arial" w:hAnsi="Arial" w:cs="Arial"/>
          <w:bCs/>
        </w:rPr>
        <w:t xml:space="preserve"> </w:t>
      </w:r>
      <w:r w:rsidR="00725E8F" w:rsidRPr="00725E8F">
        <w:rPr>
          <w:rFonts w:ascii="Arial" w:hAnsi="Arial" w:cs="Arial"/>
          <w:bCs/>
        </w:rPr>
        <w:t>53-158</w:t>
      </w:r>
      <w:r w:rsidRPr="00371FEF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1C419F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725E8F">
          <w:rPr>
            <w:rStyle w:val="a5"/>
            <w:color w:val="auto"/>
            <w:u w:val="none"/>
          </w:rPr>
          <w:t>части 2</w:t>
        </w:r>
      </w:hyperlink>
      <w:r w:rsidR="001C419F" w:rsidRPr="001C419F">
        <w:t> </w:t>
      </w:r>
      <w:r w:rsidR="001C419F">
        <w:t xml:space="preserve"> статьи 57 Федерального закона </w:t>
      </w:r>
      <w:r w:rsidR="004B3496">
        <w:t>от 31.07.2020 №</w:t>
      </w:r>
      <w:r w:rsidR="001C419F">
        <w:t xml:space="preserve">248-ФЗ </w:t>
      </w:r>
      <w:r w:rsidR="001C419F" w:rsidRPr="001C419F">
        <w:t>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1) нали</w:t>
      </w:r>
      <w:r w:rsidR="000F7B12">
        <w:t xml:space="preserve">чие у контрольного </w:t>
      </w:r>
      <w:r w:rsidRPr="001C419F">
        <w:t xml:space="preserve">органа сведений о причинении вреда (ущерба) или об угрозе причинения вреда (ущерба) охраняемым законом ценностям с учетом </w:t>
      </w:r>
      <w:r w:rsidRPr="00725E8F">
        <w:t>положений </w:t>
      </w:r>
      <w:hyperlink r:id="rId9" w:anchor="dst101415" w:history="1">
        <w:r w:rsidRPr="00725E8F">
          <w:rPr>
            <w:rStyle w:val="a5"/>
            <w:color w:val="auto"/>
            <w:u w:val="none"/>
          </w:rPr>
          <w:t>статьи 60</w:t>
        </w:r>
      </w:hyperlink>
      <w:r w:rsidRPr="00725E8F">
        <w:t xml:space="preserve">  </w:t>
      </w:r>
      <w:r w:rsidRPr="001C419F">
        <w:t>Федерального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725E8F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725E8F">
          <w:rPr>
            <w:rStyle w:val="a5"/>
            <w:color w:val="auto"/>
            <w:u w:val="none"/>
          </w:rPr>
          <w:t>частью 1 статьи 95</w:t>
        </w:r>
      </w:hyperlink>
      <w:r w:rsidR="004B3496" w:rsidRPr="00725E8F">
        <w:t> </w:t>
      </w:r>
      <w:r w:rsidRPr="00725E8F">
        <w:t xml:space="preserve"> Федерального закона</w:t>
      </w:r>
      <w:r w:rsidR="004B3496" w:rsidRPr="00725E8F">
        <w:t xml:space="preserve"> от 31.07.2020 248-ФЗ</w:t>
      </w:r>
      <w:r w:rsidRPr="00725E8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A413FA">
          <w:rPr>
            <w:rStyle w:val="a5"/>
            <w:color w:val="auto"/>
            <w:u w:val="none"/>
          </w:rPr>
          <w:t>частью 1 статьи 8</w:t>
        </w:r>
      </w:hyperlink>
      <w:r w:rsidRPr="001C419F">
        <w:t xml:space="preserve"> Федерального закона от 26 декабря 2008 года N 294-ФЗ </w:t>
      </w:r>
      <w:r w:rsidR="00B40AD6">
        <w:t>«</w:t>
      </w:r>
      <w:r w:rsidRPr="001C419F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>
        <w:t>»</w:t>
      </w:r>
      <w:r w:rsidRPr="001C419F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A413FA">
          <w:rPr>
            <w:rStyle w:val="a5"/>
            <w:color w:val="auto"/>
            <w:u w:val="none"/>
          </w:rPr>
          <w:t>пунктах 6</w:t>
        </w:r>
      </w:hyperlink>
      <w:r w:rsidRPr="00A413FA">
        <w:t> - </w:t>
      </w:r>
      <w:hyperlink r:id="rId13" w:anchor="dst420" w:history="1">
        <w:r w:rsidRPr="00A413FA">
          <w:rPr>
            <w:rStyle w:val="a5"/>
            <w:color w:val="auto"/>
            <w:u w:val="none"/>
          </w:rPr>
          <w:t>9.1</w:t>
        </w:r>
      </w:hyperlink>
      <w:r w:rsidRPr="00A413FA">
        <w:t>, </w:t>
      </w:r>
      <w:hyperlink r:id="rId14" w:anchor="dst100111" w:history="1">
        <w:r w:rsidRPr="00A413FA">
          <w:rPr>
            <w:rStyle w:val="a5"/>
            <w:color w:val="auto"/>
            <w:u w:val="none"/>
          </w:rPr>
          <w:t>11</w:t>
        </w:r>
      </w:hyperlink>
      <w:r w:rsidRPr="00A413FA">
        <w:t>, </w:t>
      </w:r>
      <w:hyperlink r:id="rId15" w:anchor="dst472" w:history="1">
        <w:r w:rsidRPr="00A413FA">
          <w:rPr>
            <w:rStyle w:val="a5"/>
            <w:color w:val="auto"/>
            <w:u w:val="none"/>
          </w:rPr>
          <w:t>12</w:t>
        </w:r>
      </w:hyperlink>
      <w:r w:rsidRPr="00A413FA">
        <w:t>, </w:t>
      </w:r>
      <w:hyperlink r:id="rId16" w:anchor="dst22" w:history="1">
        <w:r w:rsidRPr="00A413FA">
          <w:rPr>
            <w:rStyle w:val="a5"/>
            <w:color w:val="auto"/>
            <w:u w:val="none"/>
          </w:rPr>
          <w:t>14</w:t>
        </w:r>
      </w:hyperlink>
      <w:r w:rsidRPr="00A413FA">
        <w:t> - </w:t>
      </w:r>
      <w:hyperlink r:id="rId17" w:anchor="dst144" w:history="1">
        <w:r w:rsidRPr="00A413FA">
          <w:rPr>
            <w:rStyle w:val="a5"/>
            <w:color w:val="auto"/>
            <w:u w:val="none"/>
          </w:rPr>
          <w:t>17</w:t>
        </w:r>
      </w:hyperlink>
      <w:r w:rsidRPr="00A413FA">
        <w:t>, </w:t>
      </w:r>
      <w:hyperlink r:id="rId18" w:anchor="dst100119" w:history="1">
        <w:r w:rsidRPr="00A413FA">
          <w:rPr>
            <w:rStyle w:val="a5"/>
            <w:color w:val="auto"/>
            <w:u w:val="none"/>
          </w:rPr>
          <w:t>19</w:t>
        </w:r>
      </w:hyperlink>
      <w:r w:rsidRPr="00A413FA">
        <w:t> - </w:t>
      </w:r>
      <w:hyperlink r:id="rId19" w:anchor="dst100121" w:history="1">
        <w:r w:rsidRPr="00A413FA">
          <w:rPr>
            <w:rStyle w:val="a5"/>
            <w:color w:val="auto"/>
            <w:u w:val="none"/>
          </w:rPr>
          <w:t>21</w:t>
        </w:r>
      </w:hyperlink>
      <w:r w:rsidRPr="00A413FA">
        <w:t>, </w:t>
      </w:r>
      <w:hyperlink r:id="rId20" w:anchor="dst417" w:history="1">
        <w:r w:rsidRPr="00A413FA">
          <w:rPr>
            <w:rStyle w:val="a5"/>
            <w:color w:val="auto"/>
            <w:u w:val="none"/>
          </w:rPr>
          <w:t>24</w:t>
        </w:r>
      </w:hyperlink>
      <w:r w:rsidRPr="00A413FA">
        <w:t> - </w:t>
      </w:r>
      <w:hyperlink r:id="rId21" w:anchor="dst142" w:history="1">
        <w:r w:rsidRPr="00A413FA">
          <w:rPr>
            <w:rStyle w:val="a5"/>
            <w:color w:val="auto"/>
            <w:u w:val="none"/>
          </w:rPr>
          <w:t>31</w:t>
        </w:r>
      </w:hyperlink>
      <w:r w:rsidRPr="00A413FA">
        <w:t>, </w:t>
      </w:r>
      <w:hyperlink r:id="rId22" w:anchor="dst100134" w:history="1">
        <w:r w:rsidRPr="00A413FA">
          <w:rPr>
            <w:rStyle w:val="a5"/>
            <w:color w:val="auto"/>
            <w:u w:val="none"/>
          </w:rPr>
          <w:t>34</w:t>
        </w:r>
      </w:hyperlink>
      <w:r w:rsidRPr="00A413FA">
        <w:t> - </w:t>
      </w:r>
      <w:hyperlink r:id="rId23" w:anchor="dst100136" w:history="1">
        <w:r w:rsidRPr="00A413FA">
          <w:rPr>
            <w:rStyle w:val="a5"/>
            <w:color w:val="auto"/>
            <w:u w:val="none"/>
          </w:rPr>
          <w:t>36</w:t>
        </w:r>
      </w:hyperlink>
      <w:r w:rsidRPr="00A413FA">
        <w:t>, </w:t>
      </w:r>
      <w:hyperlink r:id="rId24" w:anchor="dst100139" w:history="1">
        <w:r w:rsidRPr="00A413FA">
          <w:rPr>
            <w:rStyle w:val="a5"/>
            <w:color w:val="auto"/>
            <w:u w:val="none"/>
          </w:rPr>
          <w:t>39</w:t>
        </w:r>
      </w:hyperlink>
      <w:r w:rsidRPr="00A413FA">
        <w:t>, </w:t>
      </w:r>
      <w:hyperlink r:id="rId25" w:anchor="dst71" w:history="1">
        <w:r w:rsidRPr="00A413FA">
          <w:rPr>
            <w:rStyle w:val="a5"/>
            <w:color w:val="auto"/>
            <w:u w:val="none"/>
          </w:rPr>
          <w:t>40</w:t>
        </w:r>
      </w:hyperlink>
      <w:r w:rsidRPr="00A413FA">
        <w:t>, </w:t>
      </w:r>
      <w:hyperlink r:id="rId26" w:anchor="dst183" w:history="1">
        <w:r w:rsidRPr="00A413FA">
          <w:rPr>
            <w:rStyle w:val="a5"/>
            <w:color w:val="auto"/>
            <w:u w:val="none"/>
          </w:rPr>
          <w:t>42</w:t>
        </w:r>
      </w:hyperlink>
      <w:r w:rsidRPr="00A413FA">
        <w:t> - </w:t>
      </w:r>
      <w:hyperlink r:id="rId27" w:anchor="dst62" w:history="1">
        <w:r w:rsidRPr="00A413FA">
          <w:rPr>
            <w:rStyle w:val="a5"/>
            <w:color w:val="auto"/>
            <w:u w:val="none"/>
          </w:rPr>
          <w:t>55</w:t>
        </w:r>
      </w:hyperlink>
      <w:r w:rsidRPr="00A413FA">
        <w:t> и </w:t>
      </w:r>
      <w:hyperlink r:id="rId28" w:anchor="dst461" w:history="1">
        <w:r w:rsidRPr="00A413FA">
          <w:rPr>
            <w:rStyle w:val="a5"/>
            <w:color w:val="auto"/>
            <w:u w:val="none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A413FA" w:rsidRPr="00A413FA">
        <w:t>Азеев</w:t>
      </w:r>
      <w:r w:rsidRPr="00A413FA">
        <w:t>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A413FA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A413FA" w:rsidRPr="00A413FA">
        <w:rPr>
          <w:rFonts w:ascii="Arial" w:hAnsi="Arial" w:cs="Arial"/>
          <w:bCs/>
        </w:rPr>
        <w:t>Азеев</w:t>
      </w:r>
      <w:r w:rsidRPr="00A413FA">
        <w:rPr>
          <w:rFonts w:ascii="Arial" w:hAnsi="Arial" w:cs="Arial"/>
          <w:bCs/>
        </w:rPr>
        <w:t>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</w:t>
      </w: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</w:t>
      </w:r>
      <w:r w:rsidR="00A413FA">
        <w:rPr>
          <w:rFonts w:ascii="Arial" w:hAnsi="Arial" w:cs="Arial"/>
          <w:bCs/>
        </w:rPr>
        <w:t xml:space="preserve">                 Д.С.Гайнуллин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0A" w:rsidRDefault="0038270A">
      <w:r>
        <w:separator/>
      </w:r>
    </w:p>
  </w:endnote>
  <w:endnote w:type="continuationSeparator" w:id="0">
    <w:p w:rsidR="0038270A" w:rsidRDefault="003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0A" w:rsidRDefault="0038270A">
      <w:r>
        <w:separator/>
      </w:r>
    </w:p>
  </w:footnote>
  <w:footnote w:type="continuationSeparator" w:id="0">
    <w:p w:rsidR="0038270A" w:rsidRDefault="0038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0A68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70A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2D29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5E8F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121D"/>
    <w:rsid w:val="009E510D"/>
    <w:rsid w:val="00A039F6"/>
    <w:rsid w:val="00A05F44"/>
    <w:rsid w:val="00A1622E"/>
    <w:rsid w:val="00A30850"/>
    <w:rsid w:val="00A31699"/>
    <w:rsid w:val="00A413FA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2ECD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702F6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42BC-909E-43D8-9A72-ED9D198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Azeevo</cp:lastModifiedBy>
  <cp:revision>7</cp:revision>
  <cp:lastPrinted>2025-01-06T05:49:00Z</cp:lastPrinted>
  <dcterms:created xsi:type="dcterms:W3CDTF">2025-06-03T15:12:00Z</dcterms:created>
  <dcterms:modified xsi:type="dcterms:W3CDTF">2025-06-11T06:23:00Z</dcterms:modified>
</cp:coreProperties>
</file>