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3" w:hanging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О внесении изменений в постановление Исполнительного комитета от 23.01.2025 № 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ab/>
        <w:t>В соответствии с постановлением Кабинета Министров Республики Татарстан от 21.04.2025 № 253 «О внесении изменений в постановление Кабинета Министров Республики Татарстан от 12.09.2024 № 777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1. </w:t>
      </w:r>
      <w:r>
        <w:rPr>
          <w:rFonts w:cs="Times New Roman" w:ascii="Tinos" w:hAnsi="Tinos"/>
          <w:sz w:val="24"/>
          <w:szCs w:val="24"/>
        </w:rPr>
        <w:t>Внести изменения в постановление Исполнительного комитета от 23.01.2025 № 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 (в редакции постановления Исполнительного комитета от 09.06.2025 № 4118), изложив пункты 1, 2 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«1. Установить одноразовое бесплатное горячее питание для следующих категорий обучающихся </w:t>
      </w:r>
      <w:r>
        <w:rPr>
          <w:rFonts w:cs="Times New Roman" w:ascii="Tinos" w:hAnsi="Tinos"/>
          <w:sz w:val="24"/>
          <w:szCs w:val="24"/>
        </w:rPr>
        <w:t xml:space="preserve">в </w:t>
      </w:r>
      <w:r>
        <w:rPr>
          <w:rFonts w:cs="Times New Roman" w:ascii="Tinos" w:hAnsi="Tinos"/>
          <w:sz w:val="24"/>
          <w:szCs w:val="24"/>
        </w:rPr>
        <w:t>муниципальных общеобразовательных организаци</w:t>
      </w:r>
      <w:r>
        <w:rPr>
          <w:rFonts w:cs="Times New Roman" w:ascii="Tinos" w:hAnsi="Tinos"/>
          <w:sz w:val="24"/>
          <w:szCs w:val="24"/>
        </w:rPr>
        <w:t>ях</w:t>
      </w:r>
      <w:r>
        <w:rPr>
          <w:rFonts w:cs="Times New Roman" w:ascii="Tinos" w:hAnsi="Tinos"/>
          <w:sz w:val="24"/>
          <w:szCs w:val="24"/>
        </w:rPr>
        <w:t>:</w:t>
      </w:r>
    </w:p>
    <w:p>
      <w:pPr>
        <w:pStyle w:val="ListParagraph"/>
        <w:widowControl/>
        <w:numPr>
          <w:ilvl w:val="1"/>
          <w:numId w:val="1"/>
        </w:numPr>
        <w:tabs>
          <w:tab w:val="clear" w:pos="708"/>
          <w:tab w:val="left" w:pos="1094" w:leader="none"/>
        </w:tabs>
        <w:suppressAutoHyphens w:val="true"/>
        <w:bidi w:val="0"/>
        <w:spacing w:lineRule="auto" w:line="240" w:before="1" w:after="0"/>
        <w:ind w:left="113" w:right="113" w:firstLine="454"/>
        <w:contextualSpacing w:val="false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для обучающихся 1-4 классов: стоимость бесплатного питания на одного обучающегося – 74,77 р.;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2) для</w:t>
      </w:r>
      <w:r>
        <w:rPr>
          <w:rFonts w:cs="Times New Roman" w:ascii="Tinos" w:hAnsi="Tinos"/>
          <w:spacing w:val="80"/>
          <w:sz w:val="24"/>
          <w:szCs w:val="24"/>
        </w:rPr>
        <w:t xml:space="preserve">   </w:t>
      </w:r>
      <w:r>
        <w:rPr>
          <w:rFonts w:cs="Times New Roman" w:ascii="Tinos" w:hAnsi="Tinos"/>
          <w:sz w:val="24"/>
          <w:szCs w:val="24"/>
        </w:rPr>
        <w:t>обучающихся</w:t>
      </w:r>
      <w:r>
        <w:rPr>
          <w:rFonts w:cs="Times New Roman" w:ascii="Tinos" w:hAnsi="Tinos"/>
          <w:spacing w:val="80"/>
          <w:sz w:val="24"/>
          <w:szCs w:val="24"/>
        </w:rPr>
        <w:t xml:space="preserve">   </w:t>
      </w:r>
      <w:r>
        <w:rPr>
          <w:rFonts w:cs="Times New Roman" w:ascii="Tinos" w:hAnsi="Tinos"/>
          <w:sz w:val="24"/>
          <w:szCs w:val="24"/>
        </w:rPr>
        <w:t>5-11</w:t>
      </w:r>
      <w:r>
        <w:rPr>
          <w:rFonts w:cs="Times New Roman" w:ascii="Tinos" w:hAnsi="Tinos"/>
          <w:spacing w:val="80"/>
          <w:sz w:val="24"/>
          <w:szCs w:val="24"/>
        </w:rPr>
        <w:t xml:space="preserve">   </w:t>
      </w:r>
      <w:r>
        <w:rPr>
          <w:rFonts w:cs="Times New Roman" w:ascii="Tinos" w:hAnsi="Tinos"/>
          <w:sz w:val="24"/>
          <w:szCs w:val="24"/>
        </w:rPr>
        <w:t>классов,</w:t>
      </w:r>
      <w:r>
        <w:rPr>
          <w:rFonts w:cs="Times New Roman" w:ascii="Tinos" w:hAnsi="Tinos"/>
          <w:spacing w:val="80"/>
          <w:sz w:val="24"/>
          <w:szCs w:val="24"/>
        </w:rPr>
        <w:t xml:space="preserve">   </w:t>
      </w:r>
      <w:r>
        <w:rPr>
          <w:rFonts w:cs="Times New Roman" w:ascii="Tinos" w:hAnsi="Tinos"/>
          <w:sz w:val="24"/>
          <w:szCs w:val="24"/>
        </w:rPr>
        <w:t>воспитывающихся</w:t>
      </w:r>
      <w:r>
        <w:rPr>
          <w:rFonts w:cs="Times New Roman" w:ascii="Tinos" w:hAnsi="Tinos"/>
          <w:spacing w:val="80"/>
          <w:sz w:val="24"/>
          <w:szCs w:val="24"/>
        </w:rPr>
        <w:t xml:space="preserve">   </w:t>
      </w:r>
      <w:r>
        <w:rPr>
          <w:rFonts w:cs="Times New Roman" w:ascii="Tinos" w:hAnsi="Tinos"/>
          <w:sz w:val="24"/>
          <w:szCs w:val="24"/>
        </w:rPr>
        <w:t>в</w:t>
      </w:r>
      <w:r>
        <w:rPr>
          <w:rFonts w:cs="Times New Roman" w:ascii="Tinos" w:hAnsi="Tinos"/>
          <w:spacing w:val="80"/>
          <w:sz w:val="24"/>
          <w:szCs w:val="24"/>
        </w:rPr>
        <w:t xml:space="preserve">   </w:t>
      </w:r>
      <w:r>
        <w:rPr>
          <w:rFonts w:cs="Times New Roman" w:ascii="Tinos" w:hAnsi="Tinos"/>
          <w:sz w:val="24"/>
          <w:szCs w:val="24"/>
        </w:rPr>
        <w:t>семьях с 3 и более несовершеннолетними детьми: стоимость бесплатного питания на одного обучающегося – 88,70 р.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2. </w:t>
      </w:r>
      <w:r>
        <w:rPr>
          <w:rFonts w:ascii="Tinos" w:hAnsi="Tinos"/>
          <w:sz w:val="24"/>
          <w:szCs w:val="24"/>
        </w:rPr>
        <w:t>Установить двухразовое бесплатное горячее питание для следующих категорий обучающихся в муниципальных общеобразовательных организациях: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1) для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детей-инвалидов,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для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детей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с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ограниченными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возможностями здоровья: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стоимость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питания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на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одного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обучающегося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для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1-4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классов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–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128,90</w:t>
      </w:r>
      <w:r>
        <w:rPr>
          <w:rFonts w:ascii="Tinos" w:hAnsi="Tinos"/>
          <w:spacing w:val="-2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р.; для 5-11 классов – 130,88 р.;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2) для детей сотрудников Управления МВД России по г. Набережные Челны, федеральных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государственных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гражданских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служащих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Управления</w:t>
      </w:r>
      <w:r>
        <w:rPr>
          <w:rFonts w:ascii="Tinos" w:hAnsi="Tinos"/>
          <w:spacing w:val="80"/>
          <w:w w:val="15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МВД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России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по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г.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Набережные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Челны,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работников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Управления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МВД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России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по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г.</w:t>
      </w:r>
      <w:r>
        <w:rPr>
          <w:rFonts w:ascii="Tinos" w:hAnsi="Tinos"/>
          <w:spacing w:val="-2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Набережные Челны: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стоимость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питания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на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одного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обучающегося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для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1-4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классов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–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128,90</w:t>
      </w:r>
      <w:r>
        <w:rPr>
          <w:rFonts w:ascii="Tinos" w:hAnsi="Tinos"/>
          <w:spacing w:val="-1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р.; для 5-11 классов – 130,88 р.;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3) для детей гражданского персонала, сотрудников отдела вневедомственной охраны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по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городу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Набережные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Челны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–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филиал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ФГКУ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«УВО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ВНГ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России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по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Республике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Татарстан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(Татарстан)»: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стоимость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питания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на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одного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обучающегося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для 1-4 классов – 128,90 р.; для 5-11 классов – 130,88 р.;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4) для детей вынужденных переселенцев, прибывших из Донецкой и Луганской народных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республик,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Херсонской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и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Запорожской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областей,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Украины,</w:t>
      </w:r>
      <w:r>
        <w:rPr>
          <w:rFonts w:ascii="Tinos" w:hAnsi="Tinos"/>
          <w:spacing w:val="40"/>
          <w:sz w:val="24"/>
          <w:szCs w:val="24"/>
        </w:rPr>
        <w:t xml:space="preserve">  </w:t>
      </w:r>
      <w:r>
        <w:rPr>
          <w:rFonts w:ascii="Tinos" w:hAnsi="Tinos"/>
          <w:sz w:val="24"/>
          <w:szCs w:val="24"/>
        </w:rPr>
        <w:t>временно размещенных в городе Набережные Челны: стоимость питания на одного обучающегося для 1-4 классов – 128,90 р.; для 5-11 классов – 130,88 р.;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5) для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детей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граждан,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принимающих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участие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в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специальной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военной операции: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стоимость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питания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на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одного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обучающегося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для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1-4</w:t>
      </w:r>
      <w:r>
        <w:rPr>
          <w:rFonts w:ascii="Tinos" w:hAnsi="Tinos"/>
          <w:spacing w:val="8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классов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–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128,90</w:t>
      </w:r>
      <w:r>
        <w:rPr>
          <w:rFonts w:ascii="Tinos" w:hAnsi="Tinos"/>
          <w:spacing w:val="-2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р.; для 5-11 классов – 130,88 р.;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6) для детей граждан, находящихся на лечении в связи с получением ранений при участии в специальной военной операции: стоимость питания на одного обучающегося</w:t>
      </w:r>
      <w:r>
        <w:rPr>
          <w:rFonts w:ascii="Tinos" w:hAnsi="Tinos"/>
          <w:spacing w:val="40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для 1-4 классов – 128,90 р.; для 5-11 классов – 130,88 р.;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7) для детей граждан, ставших инвалидами 1 группы из-за военной травмы или из-за заболевания, полученного в период участия в специальной военной операции: стоимость питания на одного обучающегося для 1-4 классов – 128,90 р.; для 5-11 классов – 130,88 р.;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8) </w:t>
      </w:r>
      <w:r>
        <w:rPr>
          <w:rFonts w:cs="Times New Roman" w:ascii="Tinos" w:hAnsi="Tinos"/>
          <w:sz w:val="24"/>
          <w:szCs w:val="24"/>
        </w:rPr>
        <w:t>для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детей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граждан,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погибших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или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пропавших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без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вести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в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зоне специальной</w:t>
      </w:r>
      <w:r>
        <w:rPr>
          <w:rFonts w:cs="Times New Roman" w:ascii="Tinos" w:hAnsi="Tinos"/>
          <w:spacing w:val="40"/>
          <w:sz w:val="24"/>
          <w:szCs w:val="24"/>
        </w:rPr>
        <w:t xml:space="preserve">  </w:t>
      </w:r>
      <w:r>
        <w:rPr>
          <w:rFonts w:cs="Times New Roman" w:ascii="Tinos" w:hAnsi="Tinos"/>
          <w:sz w:val="24"/>
          <w:szCs w:val="24"/>
        </w:rPr>
        <w:t>военной</w:t>
      </w:r>
      <w:r>
        <w:rPr>
          <w:rFonts w:cs="Times New Roman" w:ascii="Tinos" w:hAnsi="Tinos"/>
          <w:spacing w:val="40"/>
          <w:sz w:val="24"/>
          <w:szCs w:val="24"/>
        </w:rPr>
        <w:t xml:space="preserve">  </w:t>
      </w:r>
      <w:r>
        <w:rPr>
          <w:rFonts w:cs="Times New Roman" w:ascii="Tinos" w:hAnsi="Tinos"/>
          <w:sz w:val="24"/>
          <w:szCs w:val="24"/>
        </w:rPr>
        <w:t>операции:</w:t>
      </w:r>
      <w:r>
        <w:rPr>
          <w:rFonts w:cs="Times New Roman" w:ascii="Tinos" w:hAnsi="Tinos"/>
          <w:spacing w:val="40"/>
          <w:sz w:val="24"/>
          <w:szCs w:val="24"/>
        </w:rPr>
        <w:t xml:space="preserve">  </w:t>
      </w:r>
      <w:r>
        <w:rPr>
          <w:rFonts w:cs="Times New Roman" w:ascii="Tinos" w:hAnsi="Tinos"/>
          <w:sz w:val="24"/>
          <w:szCs w:val="24"/>
        </w:rPr>
        <w:t>стоимость</w:t>
      </w:r>
      <w:r>
        <w:rPr>
          <w:rFonts w:cs="Times New Roman" w:ascii="Tinos" w:hAnsi="Tinos"/>
          <w:spacing w:val="40"/>
          <w:sz w:val="24"/>
          <w:szCs w:val="24"/>
        </w:rPr>
        <w:t xml:space="preserve">  </w:t>
      </w:r>
      <w:r>
        <w:rPr>
          <w:rFonts w:cs="Times New Roman" w:ascii="Tinos" w:hAnsi="Tinos"/>
          <w:sz w:val="24"/>
          <w:szCs w:val="24"/>
        </w:rPr>
        <w:t>питания</w:t>
      </w:r>
      <w:r>
        <w:rPr>
          <w:rFonts w:cs="Times New Roman" w:ascii="Tinos" w:hAnsi="Tinos"/>
          <w:spacing w:val="40"/>
          <w:sz w:val="24"/>
          <w:szCs w:val="24"/>
        </w:rPr>
        <w:t xml:space="preserve">  </w:t>
      </w:r>
      <w:r>
        <w:rPr>
          <w:rFonts w:cs="Times New Roman" w:ascii="Tinos" w:hAnsi="Tinos"/>
          <w:sz w:val="24"/>
          <w:szCs w:val="24"/>
        </w:rPr>
        <w:t>на</w:t>
      </w:r>
      <w:r>
        <w:rPr>
          <w:rFonts w:cs="Times New Roman" w:ascii="Tinos" w:hAnsi="Tinos"/>
          <w:spacing w:val="40"/>
          <w:sz w:val="24"/>
          <w:szCs w:val="24"/>
        </w:rPr>
        <w:t xml:space="preserve">  </w:t>
      </w:r>
      <w:r>
        <w:rPr>
          <w:rFonts w:cs="Times New Roman" w:ascii="Tinos" w:hAnsi="Tinos"/>
          <w:sz w:val="24"/>
          <w:szCs w:val="24"/>
        </w:rPr>
        <w:t>одного</w:t>
      </w:r>
      <w:r>
        <w:rPr>
          <w:rFonts w:cs="Times New Roman" w:ascii="Tinos" w:hAnsi="Tinos"/>
          <w:spacing w:val="40"/>
          <w:sz w:val="24"/>
          <w:szCs w:val="24"/>
        </w:rPr>
        <w:t xml:space="preserve">  </w:t>
      </w:r>
      <w:r>
        <w:rPr>
          <w:rFonts w:cs="Times New Roman" w:ascii="Tinos" w:hAnsi="Tinos"/>
          <w:sz w:val="24"/>
          <w:szCs w:val="24"/>
        </w:rPr>
        <w:t>обучающегося</w:t>
      </w:r>
      <w:r>
        <w:rPr>
          <w:rFonts w:cs="Times New Roman" w:ascii="Tinos" w:hAnsi="Tinos"/>
          <w:spacing w:val="8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для 1-4 классов – 128,90 р.; для 5-11 классов – 130,88 р.».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eastAsia="Times New Roman" w:ascii="Tinos" w:hAnsi="Tinos"/>
          <w:sz w:val="24"/>
          <w:szCs w:val="24"/>
        </w:rPr>
        <w:t xml:space="preserve">2. </w:t>
      </w:r>
      <w:r>
        <w:rPr>
          <w:rFonts w:eastAsia="Times New Roman" w:ascii="Tinos" w:hAnsi="Tinos"/>
          <w:sz w:val="24"/>
          <w:szCs w:val="24"/>
        </w:rPr>
        <w:t>Н</w:t>
      </w:r>
      <w:r>
        <w:rPr>
          <w:rFonts w:eastAsia="Times New Roman" w:ascii="Tinos" w:hAnsi="Tinos"/>
          <w:sz w:val="24"/>
          <w:szCs w:val="24"/>
        </w:rPr>
        <w:t>астояще</w:t>
      </w:r>
      <w:r>
        <w:rPr>
          <w:rFonts w:eastAsia="Times New Roman" w:ascii="Tinos" w:hAnsi="Tinos"/>
          <w:sz w:val="24"/>
          <w:szCs w:val="24"/>
        </w:rPr>
        <w:t>е</w:t>
      </w:r>
      <w:r>
        <w:rPr>
          <w:rFonts w:eastAsia="Times New Roman" w:ascii="Tinos" w:hAnsi="Tinos"/>
          <w:sz w:val="24"/>
          <w:szCs w:val="24"/>
        </w:rPr>
        <w:t xml:space="preserve"> постановлени</w:t>
      </w:r>
      <w:r>
        <w:rPr>
          <w:rFonts w:eastAsia="Times New Roman" w:ascii="Tinos" w:hAnsi="Tinos"/>
          <w:sz w:val="24"/>
          <w:szCs w:val="24"/>
        </w:rPr>
        <w:t>е</w:t>
      </w:r>
      <w:r>
        <w:rPr>
          <w:rFonts w:eastAsia="Times New Roman" w:ascii="Tinos" w:hAnsi="Tinos"/>
          <w:sz w:val="24"/>
          <w:szCs w:val="24"/>
        </w:rPr>
        <w:t xml:space="preserve"> </w:t>
      </w:r>
      <w:r>
        <w:rPr>
          <w:rFonts w:eastAsia="Times New Roman" w:ascii="Tinos" w:hAnsi="Tinos"/>
          <w:sz w:val="24"/>
          <w:szCs w:val="24"/>
        </w:rPr>
        <w:t>вступает в силу</w:t>
      </w:r>
      <w:r>
        <w:rPr>
          <w:rFonts w:eastAsia="Times New Roman" w:ascii="Tinos" w:hAnsi="Tinos"/>
          <w:sz w:val="24"/>
          <w:szCs w:val="24"/>
        </w:rPr>
        <w:t xml:space="preserve"> с 1 сентября 2025 года.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nos" w:hAnsi="Tinos"/>
          <w:sz w:val="24"/>
          <w:szCs w:val="24"/>
        </w:rPr>
        <w:t>3. Управлению делопроизводством Исполнительного комитета обеспечить официальное</w:t>
      </w:r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опубликование</w:t>
      </w:r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настоящего</w:t>
      </w:r>
      <w:r>
        <w:rPr>
          <w:rFonts w:eastAsia="Times New Roman" w:ascii="Tinos" w:hAnsi="Tinos"/>
          <w:spacing w:val="78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постановления</w:t>
      </w:r>
      <w:r>
        <w:rPr>
          <w:rFonts w:eastAsia="Times New Roman" w:ascii="Tinos" w:hAnsi="Tinos"/>
          <w:spacing w:val="78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и</w:t>
      </w:r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размещение</w:t>
      </w:r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его на официальном портале правовой информации Республики Татарстан (</w:t>
      </w:r>
      <w:hyperlink r:id="rId2">
        <w:r>
          <w:rPr>
            <w:rFonts w:eastAsia="Times New Roman" w:ascii="Tinos" w:hAnsi="Tinos"/>
            <w:sz w:val="24"/>
            <w:szCs w:val="24"/>
          </w:rPr>
          <w:t>http://pravo.tatarstan.ru),</w:t>
        </w:r>
      </w:hyperlink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на</w:t>
      </w:r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официальном</w:t>
      </w:r>
      <w:r>
        <w:rPr>
          <w:rFonts w:eastAsia="Times New Roman" w:ascii="Tinos" w:hAnsi="Tinos"/>
          <w:spacing w:val="76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сайте</w:t>
      </w:r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города</w:t>
      </w:r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Набережные</w:t>
      </w:r>
      <w:r>
        <w:rPr>
          <w:rFonts w:eastAsia="Times New Roman" w:ascii="Tinos" w:hAnsi="Tinos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Челны в сети «Интернет».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4"/>
          <w:szCs w:val="24"/>
        </w:rPr>
      </w:pPr>
      <w:r>
        <w:rPr>
          <w:rFonts w:eastAsia="Times New Roman" w:ascii="Tinos" w:hAnsi="Tinos"/>
          <w:sz w:val="24"/>
          <w:szCs w:val="24"/>
        </w:rPr>
        <w:t>4. Контроль</w:t>
      </w:r>
      <w:r>
        <w:rPr>
          <w:rFonts w:eastAsia="Times New Roman" w:ascii="Tinos" w:hAnsi="Tinos"/>
          <w:spacing w:val="8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за</w:t>
      </w:r>
      <w:r>
        <w:rPr>
          <w:rFonts w:eastAsia="Times New Roman" w:ascii="Tinos" w:hAnsi="Tinos"/>
          <w:spacing w:val="8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исполнением</w:t>
      </w:r>
      <w:r>
        <w:rPr>
          <w:rFonts w:eastAsia="Times New Roman" w:ascii="Tinos" w:hAnsi="Tinos"/>
          <w:spacing w:val="8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настоящего</w:t>
      </w:r>
      <w:r>
        <w:rPr>
          <w:rFonts w:eastAsia="Times New Roman" w:ascii="Tinos" w:hAnsi="Tinos"/>
          <w:spacing w:val="8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постановления</w:t>
      </w:r>
      <w:r>
        <w:rPr>
          <w:rFonts w:eastAsia="Times New Roman" w:ascii="Tinos" w:hAnsi="Tinos"/>
          <w:spacing w:val="80"/>
          <w:sz w:val="24"/>
          <w:szCs w:val="24"/>
        </w:rPr>
        <w:t xml:space="preserve">  </w:t>
      </w:r>
      <w:r>
        <w:rPr>
          <w:rFonts w:eastAsia="Times New Roman" w:ascii="Tinos" w:hAnsi="Tinos"/>
          <w:sz w:val="24"/>
          <w:szCs w:val="24"/>
        </w:rPr>
        <w:t>возложить на заместителя Руководителя Исполнительного комитета Харисова В.Х, заместителя Руководителя</w:t>
      </w:r>
      <w:r>
        <w:rPr>
          <w:rFonts w:eastAsia="Times New Roman" w:ascii="Tinos" w:hAnsi="Tinos"/>
          <w:spacing w:val="80"/>
          <w:sz w:val="24"/>
          <w:szCs w:val="24"/>
        </w:rPr>
        <w:t xml:space="preserve"> </w:t>
      </w:r>
      <w:r>
        <w:rPr>
          <w:rFonts w:eastAsia="Times New Roman" w:ascii="Tinos" w:hAnsi="Tinos"/>
          <w:sz w:val="24"/>
          <w:szCs w:val="24"/>
        </w:rPr>
        <w:t>Исполнительного</w:t>
      </w:r>
      <w:r>
        <w:rPr>
          <w:rFonts w:eastAsia="Times New Roman" w:ascii="Tinos" w:hAnsi="Tinos"/>
          <w:spacing w:val="80"/>
          <w:sz w:val="24"/>
          <w:szCs w:val="24"/>
        </w:rPr>
        <w:t xml:space="preserve"> </w:t>
      </w:r>
      <w:r>
        <w:rPr>
          <w:rFonts w:eastAsia="Times New Roman" w:ascii="Tinos" w:hAnsi="Tinos"/>
          <w:sz w:val="24"/>
          <w:szCs w:val="24"/>
        </w:rPr>
        <w:t>комитета,</w:t>
      </w:r>
      <w:r>
        <w:rPr>
          <w:rFonts w:eastAsia="Times New Roman" w:ascii="Tinos" w:hAnsi="Tinos"/>
          <w:spacing w:val="80"/>
          <w:sz w:val="24"/>
          <w:szCs w:val="24"/>
        </w:rPr>
        <w:t xml:space="preserve"> </w:t>
      </w:r>
      <w:r>
        <w:rPr>
          <w:rFonts w:eastAsia="Times New Roman" w:ascii="Tinos" w:hAnsi="Tinos"/>
          <w:sz w:val="24"/>
          <w:szCs w:val="24"/>
        </w:rPr>
        <w:t>начальника</w:t>
      </w:r>
      <w:r>
        <w:rPr>
          <w:rFonts w:eastAsia="Times New Roman" w:ascii="Tinos" w:hAnsi="Tinos"/>
          <w:spacing w:val="80"/>
          <w:sz w:val="24"/>
          <w:szCs w:val="24"/>
        </w:rPr>
        <w:t xml:space="preserve"> </w:t>
      </w:r>
      <w:r>
        <w:rPr>
          <w:rFonts w:eastAsia="Times New Roman" w:ascii="Tinos" w:hAnsi="Tinos"/>
          <w:sz w:val="24"/>
          <w:szCs w:val="24"/>
        </w:rPr>
        <w:t>управления</w:t>
      </w:r>
      <w:r>
        <w:rPr>
          <w:rFonts w:eastAsia="Times New Roman" w:ascii="Tinos" w:hAnsi="Tinos"/>
          <w:spacing w:val="80"/>
          <w:sz w:val="24"/>
          <w:szCs w:val="24"/>
        </w:rPr>
        <w:t xml:space="preserve"> </w:t>
      </w:r>
      <w:r>
        <w:rPr>
          <w:rFonts w:eastAsia="Times New Roman" w:ascii="Tinos" w:hAnsi="Tinos"/>
          <w:sz w:val="24"/>
          <w:szCs w:val="24"/>
        </w:rPr>
        <w:t>финансов Мулюкову С.Р.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</w:t>
        <w:tab/>
        <w:tab/>
        <w:tab/>
        <w:tab/>
        <w:t xml:space="preserve">         </w:t>
        <w:tab/>
        <w:t xml:space="preserve">         </w:t>
        <w:tab/>
        <w:t xml:space="preserve">             </w:t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4536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tbl>
      <w:tblPr>
        <w:tblW w:w="394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45"/>
      </w:tblGrid>
      <w:tr>
        <w:trPr/>
        <w:tc>
          <w:tcPr>
            <w:tcW w:w="394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Fonts w:ascii="Tinos" w:hAnsi="Tinos"/>
              </w:rPr>
              <w:t>СОГЛАСОВАНО</w:t>
            </w:r>
            <w:r>
              <w:rPr/>
              <w:t>:</w:t>
            </w:r>
          </w:p>
          <w:p>
            <w:pPr>
              <w:pStyle w:val="Style22"/>
              <w:widowControl w:val="false"/>
              <w:rPr/>
            </w:pPr>
            <w:r>
              <w:rPr>
                <w:rFonts w:eastAsia="Calibri" w:cs="Times New Roman" w:ascii="Times New Roman" w:hAnsi="Times New Roman"/>
              </w:rPr>
              <w:t>_________________Н.И. Галиева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_________________Е.В. Дерлюкова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_________________С.Р.Мулюкова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_________________В.Х. Харисов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_________________Р.Н.Хузин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_________________Прокуратура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18"/>
          <w:szCs w:val="18"/>
        </w:rPr>
        <w:t>Обросова Л.Н.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18"/>
          <w:szCs w:val="18"/>
        </w:rPr>
        <w:t>30-57-27</w:t>
      </w:r>
      <w:bookmarkEnd w:id="0"/>
    </w:p>
    <w:sectPr>
      <w:type w:val="nextPage"/>
      <w:pgSz w:w="11906" w:h="16838"/>
      <w:pgMar w:left="993" w:right="851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9" w:hanging="360"/>
      </w:pPr>
      <w:rPr>
        <w:rFonts w:ascii="Tinos" w:hAnsi="Tinos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79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01"/>
    <w:qFormat/>
    <w:rsid w:val="00a47ca6"/>
    <w:rPr>
      <w:rFonts w:ascii="Batang" w:hAnsi="Batang" w:eastAsia="Batang" w:cs="Batang"/>
      <w:sz w:val="18"/>
      <w:szCs w:val="18"/>
      <w:shd w:fill="FFFFFF" w:val="clear"/>
    </w:rPr>
  </w:style>
  <w:style w:type="character" w:styleId="-">
    <w:name w:val="Hyperlink"/>
    <w:rsid w:val="004f2d00"/>
    <w:rPr>
      <w:color w:val="0066CC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c76aa"/>
    <w:rPr>
      <w:rFonts w:ascii="Segoe UI" w:hAnsi="Segoe UI" w:cs="Segoe UI"/>
      <w:sz w:val="18"/>
      <w:szCs w:val="18"/>
    </w:rPr>
  </w:style>
  <w:style w:type="character" w:styleId="5" w:customStyle="1">
    <w:name w:val="Основной текст (5)_"/>
    <w:link w:val="51"/>
    <w:qFormat/>
    <w:rsid w:val="00b27e8d"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link w:val="1011"/>
    <w:qFormat/>
    <w:rsid w:val="002f1473"/>
    <w:rPr>
      <w:rFonts w:ascii="Batang" w:hAnsi="Batang" w:eastAsia="Batang" w:cs="Batang"/>
      <w:sz w:val="21"/>
      <w:szCs w:val="21"/>
      <w:shd w:fill="FFFFFF" w:val="clear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734a"/>
    <w:pPr>
      <w:spacing w:before="0" w:after="200"/>
      <w:ind w:left="720" w:hanging="0"/>
      <w:contextualSpacing/>
    </w:pPr>
    <w:rPr/>
  </w:style>
  <w:style w:type="paragraph" w:styleId="101" w:customStyle="1">
    <w:name w:val="Основной текст10"/>
    <w:basedOn w:val="Normal"/>
    <w:link w:val="Style14"/>
    <w:qFormat/>
    <w:rsid w:val="00a47ca6"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c76a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" w:customStyle="1">
    <w:name w:val="Основной текст (5)1"/>
    <w:basedOn w:val="Normal"/>
    <w:link w:val="5"/>
    <w:qFormat/>
    <w:rsid w:val="00b27e8d"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link w:val="10"/>
    <w:qFormat/>
    <w:rsid w:val="002f1473"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paragraph" w:styleId="Default" w:customStyle="1">
    <w:name w:val="Default"/>
    <w:qFormat/>
    <w:rsid w:val="009a3e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AA4E-6BA3-4D95-8223-75E10A99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LibreOffice/7.5.6.2$Linux_X86_64 LibreOffice_project/50$Build-2</Application>
  <AppVersion>15.0000</AppVersion>
  <Pages>2</Pages>
  <Words>591</Words>
  <Characters>4099</Characters>
  <CharactersWithSpaces>4778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2025-06-10T15:47:55Z</cp:lastPrinted>
  <dcterms:modified xsi:type="dcterms:W3CDTF">2025-06-23T13:44:57Z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