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widowControl w:val="false"/>
        <w:tabs>
          <w:tab w:val="clear" w:pos="708"/>
          <w:tab w:val="left" w:pos="4111" w:leader="none"/>
        </w:tabs>
        <w:spacing w:before="0" w:after="0"/>
        <w:ind w:right="5385" w:hanging="0"/>
        <w:jc w:val="both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  <w:t>Об утверждении Стандарта качества государственной услуги «Предоставление консультационной и информационной поддержки субъектам малого и среднего предпринимательства»</w:t>
      </w:r>
    </w:p>
    <w:p>
      <w:pPr>
        <w:pStyle w:val="Normal"/>
        <w:widowControl w:val="false"/>
        <w:tabs>
          <w:tab w:val="clear" w:pos="708"/>
          <w:tab w:val="left" w:pos="1260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1"/>
        <w:widowControl w:val="false"/>
        <w:tabs>
          <w:tab w:val="clear" w:pos="708"/>
          <w:tab w:val="left" w:pos="851" w:leader="none"/>
        </w:tabs>
        <w:spacing w:before="0" w:after="0"/>
        <w:jc w:val="both"/>
        <w:rPr>
          <w:rFonts w:ascii="Times New Roman" w:hAnsi="Times New Roman" w:cs="Times New Roman"/>
          <w:b w:val="false"/>
          <w:color w:val="auto"/>
          <w:sz w:val="28"/>
          <w:szCs w:val="28"/>
        </w:rPr>
      </w:pPr>
      <w:r>
        <w:rPr>
          <w:rFonts w:cs="Times New Roman" w:ascii="Times New Roman" w:hAnsi="Times New Roman"/>
          <w:b w:val="false"/>
          <w:color w:val="auto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повышения качества предоставления государственных услуг субъектам малого и среднего предпринимательства, обеспечения их доступности, стандартизации требований к организациям, оказывающим государственные услуги,</w:t>
        <w:br/>
        <w:t>Кабинет Министров Республики Татарстан постановляет: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Утвердить прилагаемый Стандарт качества государственной услуги «Предоставление консультационной и информационной поддержки субъектам малого и среднего предпринимательства».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Министерству экономики Республики Татарстан и Министерству сельского хозяйства и продовольствия Республики Татарстан довести Стандарт качества государственной услуги «Предоставление консультационной и информационной поддержки субъектам малого и среднего предпринимательства»,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утвержденный настоящим постановлением, до подведомственных организаций, оказывающих государственную услугу «Предоставление консультационной и информационной поддержки субъектам малого и среднего предпринимательства», и обеспечить выполнение его требований.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Премьер-министр </w:t>
      </w:r>
    </w:p>
    <w:p>
      <w:pPr>
        <w:sectPr>
          <w:type w:val="nextPage"/>
          <w:pgSz w:w="11906" w:h="16838"/>
          <w:pgMar w:left="1134" w:right="567" w:gutter="0" w:header="0" w:top="1134" w:footer="0" w:bottom="1135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40" w:before="0" w:after="0"/>
        <w:ind w:left="680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35" w:before="0" w:after="0"/>
        <w:ind w:left="680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постановлением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35" w:before="0" w:after="0"/>
        <w:ind w:left="680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35" w:before="0" w:after="0"/>
        <w:ind w:left="680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lineRule="auto" w:line="235" w:before="0" w:after="0"/>
        <w:ind w:left="6804" w:hanging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от _____ 2025 № _____</w:t>
      </w:r>
    </w:p>
    <w:p>
      <w:pPr>
        <w:pStyle w:val="ConsPlusNormal"/>
        <w:spacing w:lineRule="auto" w:line="2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spacing w:lineRule="auto" w:line="23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ConsPlusNormal"/>
        <w:spacing w:lineRule="auto" w:line="23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Стандарт</w:t>
      </w:r>
    </w:p>
    <w:p>
      <w:pPr>
        <w:pStyle w:val="ConsPlusNormal"/>
        <w:spacing w:lineRule="auto" w:line="23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качества государственной услуги </w:t>
      </w:r>
    </w:p>
    <w:p>
      <w:pPr>
        <w:pStyle w:val="ConsPlusNormal"/>
        <w:spacing w:lineRule="auto" w:line="23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«Предоставление консультационной и информационной поддержки субъектам малого и среднего предпринимательства</w:t>
      </w:r>
      <w:bookmarkStart w:id="0" w:name="_GoBack"/>
      <w:bookmarkEnd w:id="0"/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»</w:t>
      </w:r>
    </w:p>
    <w:p>
      <w:pPr>
        <w:pStyle w:val="ConsPlusNormal"/>
        <w:spacing w:lineRule="auto" w:line="23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spacing w:lineRule="auto" w:line="23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. Категории (в том числе льготные) получателей государственной услуги</w:t>
      </w:r>
    </w:p>
    <w:p>
      <w:pPr>
        <w:pStyle w:val="ConsPlusNormal"/>
        <w:spacing w:lineRule="auto" w:line="2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 </w:t>
      </w:r>
    </w:p>
    <w:p>
      <w:pPr>
        <w:pStyle w:val="ConsPlusNormal"/>
        <w:spacing w:lineRule="auto" w:line="23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1.1. Получатели государственной услуги «Предоставление консультационной и информационной поддержки субъектам малого и среднего предпринимательства» (далее – государственная услуга) – индивидуальные предприниматели и юридические  лица, являющиеся субъектами малого и среднего предпринимательства в соответствии с условиями, установленными Федеральным законом от 24 июля 2007 года № 209-ФЗ «О развитии малого и среднего предпринимательства в Российской Федерации» (далее – получатели государственной услуги).</w:t>
      </w:r>
    </w:p>
    <w:p>
      <w:pPr>
        <w:pStyle w:val="ConsPlusNormal"/>
        <w:spacing w:lineRule="auto" w:line="23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spacing w:lineRule="auto" w:line="23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. Правовое основание оказания государственной услуги</w:t>
      </w:r>
    </w:p>
    <w:p>
      <w:pPr>
        <w:pStyle w:val="ConsPlusNormal"/>
        <w:spacing w:lineRule="auto" w:line="23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2.1. Предоставление государственной услуги осуществляется в соответствии со следующими нормативными правовыми актами: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Конституция Российской Федерации;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Федеральный закон от 2 мая 2006 года № 59-ФЗ «О порядке рассмотрения обращений граждан Российской Федерации»;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Федеральный закон от 24 июля 2007 года № 209-ФЗ «О развитии малого и среднего предпринимательства в Российской Федерации»;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15 апреля 2014 г.</w:t>
        <w:br/>
        <w:t>№ 316 «Об утверждении государственной программы Российской Федерации «Экономическое развитие и инновационная экономика»;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14 июля 2012 г.</w:t>
        <w:br/>
        <w:t>№ 717 «О Государственной программе развития сельского хозяйства и регулирования рынков сельскохозяйственной продукции, сырья и продовольствия»;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Конституция Республики Татарстан;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Закон Республики Татарстан от 21 января 2010 года № 7-ЗРТ «О развитии малого и среднего предпринимательства в Республике Татарстан»;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Закон Республики Татарстан от 12 мая 2003 года № 16-ЗРТ «Об обращениях граждан в Республике Татарстан»;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 Кабинета Министров Республики Татарстан от 08.04.2013 № 235 «Об утверждении государственной программы Республики Татарстан «Развитие сельского хозяйства и регулирование рынков сельскохозяйственной продукции, сырья и продовольствия в Республике Татарстан»;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 Кабинета Министров Республики Татарстан от 30.06.2009 № 445 «О стандартах качества государственных услуг, оказываемых государственными учреждениями Республики Татарстан»;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постановлением Кабинета Министров Республики Татарстан от 30.06.2009 № 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 Кабинета Министров Республики Татарстан от 29.09.2015 № 726 «Об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Татарстан»;</w:t>
      </w:r>
    </w:p>
    <w:p>
      <w:pPr>
        <w:pStyle w:val="ConsPlusNormal"/>
        <w:spacing w:lineRule="auto" w:line="232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постановление Кабинета Министров Республики Татарстан от 31.10.2013 № 823 «Об утверждении государственной программы Республики Татарстан «Экономическое развитие и инновационная экономика Республики Татарстан».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. Исчерпывающий перечень документов, необходимых для получения государственной услуги</w:t>
      </w:r>
    </w:p>
    <w:p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3.1. Для получения государственной услуги необходимы следующие документы: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 </w:t>
      </w:r>
    </w:p>
    <w:tbl>
      <w:tblPr>
        <w:tblStyle w:val="aff9"/>
        <w:tblW w:w="102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4"/>
        <w:gridCol w:w="2835"/>
        <w:gridCol w:w="3401"/>
        <w:gridCol w:w="3396"/>
      </w:tblGrid>
      <w:tr>
        <w:trPr/>
        <w:tc>
          <w:tcPr>
            <w:tcW w:w="59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№</w:t>
            </w:r>
          </w:p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Перечень документов</w:t>
            </w:r>
          </w:p>
        </w:tc>
        <w:tc>
          <w:tcPr>
            <w:tcW w:w="340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Организация,</w:t>
            </w:r>
          </w:p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осуществляющая выдачу документа</w:t>
            </w:r>
          </w:p>
        </w:tc>
        <w:tc>
          <w:tcPr>
            <w:tcW w:w="339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Срок действия документа со дня его выдачи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401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339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4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Заявление получателя государственной услуги</w:t>
            </w:r>
          </w:p>
        </w:tc>
        <w:tc>
          <w:tcPr>
            <w:tcW w:w="3401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оформляется получателем государственной услуги</w:t>
            </w:r>
          </w:p>
        </w:tc>
        <w:tc>
          <w:tcPr>
            <w:tcW w:w="339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–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документ, удостоверяющий личность:</w:t>
            </w:r>
          </w:p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копия второй и третьей страницы паспорта гражданина Российской Федерации, а также страницы, содержащие сведения о месте жительства (для индивидуальных предпринимателей, законных представителей юридических лиц, уполномоченных по доверенности)</w:t>
            </w:r>
          </w:p>
        </w:tc>
        <w:tc>
          <w:tcPr>
            <w:tcW w:w="3401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территориальный орган Министерства внутренних дел  Российской Федерации</w:t>
            </w:r>
          </w:p>
        </w:tc>
        <w:tc>
          <w:tcPr>
            <w:tcW w:w="3396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в соответствии с законодательством Российской Федерации</w:t>
            </w:r>
          </w:p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доверенность на представление интересов получателя государственной услуги, оформленная в соответствии с законодательством Российской Федерации (в случае обращения за предоставлением государственной услуги лицом, не имеющим права действовать от имени получателя услуги без доверенности)</w:t>
            </w:r>
          </w:p>
        </w:tc>
        <w:tc>
          <w:tcPr>
            <w:tcW w:w="3401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нотариус или иное лицо, уполномоченное на совершение нотариальных действий, или юридическое лицо</w:t>
            </w:r>
          </w:p>
        </w:tc>
        <w:tc>
          <w:tcPr>
            <w:tcW w:w="3396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определяется в документе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копия свидетельства о постановке на учет в налоговом органе или уведомление о постановке на учет в налоговом органе</w:t>
            </w:r>
          </w:p>
        </w:tc>
        <w:tc>
          <w:tcPr>
            <w:tcW w:w="3401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территориальный орган Федеральной налоговой службы</w:t>
            </w:r>
          </w:p>
        </w:tc>
        <w:tc>
          <w:tcPr>
            <w:tcW w:w="339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бессрочно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2835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копия свидетельства о государственной регистрации юридического лица (свидетельство о государственной регистрации физического лица в качестве индивидуального предпринимателя) или лист записи единого государственного реестра юридических лиц (лист записи единого государственного реестра индивидуальных предпринимателей)</w:t>
            </w:r>
          </w:p>
        </w:tc>
        <w:tc>
          <w:tcPr>
            <w:tcW w:w="3401" w:type="dxa"/>
            <w:tcBorders/>
          </w:tcPr>
          <w:p>
            <w:pPr>
              <w:pStyle w:val="ConsPlus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территориальный орган Федеральной налоговой службы</w:t>
            </w:r>
          </w:p>
        </w:tc>
        <w:tc>
          <w:tcPr>
            <w:tcW w:w="3396" w:type="dxa"/>
            <w:tcBorders/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kern w:val="0"/>
                <w:sz w:val="28"/>
                <w:szCs w:val="28"/>
                <w:lang w:val="ru-RU" w:bidi="ar-SA"/>
              </w:rPr>
              <w:t>бессрочно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3.2. В заявлении о предоставлении государственной услуги указываются: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для индивидуальных предпринимателей – фамилия, имя, отчество (последнее – при наличии);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для юридических лиц – полное и сокращенное наименование юридического лица;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 обращении уполномоченного лица по доверенности – фамилия, имя, отчество (последнее – при наличии) доверенного лица, реквизиты доверенности;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почтовый и/или электронный адрес, номер контактного телефона;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тема запроса;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дополнительная информации по теме запроса (при необходимости).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К заявлению могут прикладываться копии документов с дополнительной информацией по теме запроса.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3.3. Заявление и прилагаемые копии документов могут быть представлены (направлены) получателем государственной услуги на бумажных носителях одним из следующих способов: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лично (законным представителем юридического лица, уполномоченным лицом по доверенности);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простым почтовым отправлением;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заказным почтовым отправлением с уведомлением о вручении;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в электронном виде через иные информационно-телекоммуникационные сети общего доступа. При поступлении обращения (запроса) пользователя с указанием адреса электронной почты и/или почтового адреса ему направляется уведомление о приеме обращения (запроса) к рассмотрению или мотивированный отказ в рассмотрении. Принятое к рассмотрению обращение распечатывается и в дальнейшем работа с ним ведется в установленном порядке.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sz w:val="28"/>
          <w:szCs w:val="28"/>
        </w:rPr>
        <w:t>. Требования к порядку и условиям оказания государственной услуги</w:t>
      </w:r>
    </w:p>
    <w:p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Государственная услуга предоставляется в целях оказания информационной поддержки получателям государственной услуги в форме консультирования, проведения экспертизы пакета конкурсной документации, представленной получателями государственной услуги на получение государственной поддержки, региональные конкурсы в сфере экономики, инвестиций и инноваций.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 Государственная услуга предоставляется организациями инфраструктуры поддержки субъектов малого и среднего предпринимательства (далее – Учреждение):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государственным казенным учреждением «Центр реализации программ поддержки и развития малого и среднего предпринимательства Республики Татарстан», осуществляющим функции и полномочия учредителя в лице Министерства экономики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государственным бюджетным учреждением «Центр компетенций по развитию сельскохозяйственной кооперации в Республике Татарстан», осуществляющим функции и полномочия учредителя в лице Министерства сельского хозяйства и продовольствия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 Прием и регистрация заявления от получателя государственной услуги осуществляется в день обращения; максимальный срок ожидания приема получателя услуги при наличии очереди – не более 15 минут.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 Государственная услуга оказывается в форме информационного письма.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 Государственная услуга может быть оказана в следующих формах обслуживания: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стационарная форма обслуживания (результат услуги выдается лично, законным представителем юридического лица, уполномоченным лицом по доверенности);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внестационарная, в том числе заочная, форма обслуживания (получатель государственной услуги получает результат услуги через представителя, почтой России);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дистанционное обслуживание (обслуживание получателя осуществляется в удаленном режиме с использованием информационно-коммуникационных технологий) по запросу получателя государственной услуги (результат услуги предоставляется в виде электронного документа, подписанного усиленной квалифицированной электронной подписью уполномоченного должностного лица).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 Для оказания государственной услуги выполняются основные действия: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4.6.1. Консультирование: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проведение консультации, в том числе по составу, форме и содержанию исчерпывающего перечня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подготовка информационного письма или уведомления об отказе в предоставлении государственной услуги (при наличии оснований для отказа в предоставлении государственной услуги, указанных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настоящего Стандарта).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4.6.2. Проведение экспертизы пакета конкурсной документации, представленной получателями государственной услуги на получение государственной поддержки: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проведение проверки пакета конкурсной документации, представленной для получения государственной поддержки, на соответствие требованиям законодательства Российской Федерации и Республики Татарстан;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формирование дела по проведенной экспертизе;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 составление заключения;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г) подготовка информационного письма или уведомления об отказе в предоставлении государственной услуги (при наличии оснований для отказа в предоставлении государственной услуги, указанных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настоящего Стандарта).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4.6.3. Региональные конкурсы в сфере экономики, инвестиций и инноваций: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проведение сбора информации и анализа об актуальных региональных конкурсах в сфере экономики, инвестиций и инноваций;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формирование сведений, включающих региональные особенности,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анализ конкурсных процедур,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практические рекомендации и источниках информации;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 подготовка информационного письма или уведомления об отказе в предоставлении государственной услуги (при наличии оснований для отказа в предоставлении государственной услуги, указанных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настоящего Стандарта).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4.7. Заявление, содержание которого не относится к компетенции и полномочиям Учреждения, направляется в соответствующий орган или соответствующему должностному лицу, в компетенцию которых входит решение поставленных в заявлении вопросов с уведомлением получателя государственной услуги о перенаправлении заявления.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4.8. Срок предоставления государственной услуги составляет 15 рабочих дней со дня регистрации заявления.</w:t>
      </w:r>
    </w:p>
    <w:p>
      <w:pPr>
        <w:pStyle w:val="ConsPlusNormal"/>
        <w:spacing w:lineRule="auto" w:line="22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</w:t>
      </w:r>
      <w:r>
        <w:rPr>
          <w:rFonts w:cs="Times New Roman" w:ascii="Times New Roman" w:hAnsi="Times New Roman"/>
          <w:b/>
          <w:sz w:val="28"/>
          <w:szCs w:val="28"/>
        </w:rPr>
        <w:t>. Требования к материально-техническому обеспечению</w:t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государственной услуги</w:t>
      </w:r>
    </w:p>
    <w:p>
      <w:pPr>
        <w:pStyle w:val="ConsPlusNormal"/>
        <w:spacing w:lineRule="auto" w:line="228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Учреждение обеспечивает содержание закрепленных за ним и (или) принадлежащих ему на праве собственности зданий, сооружений, имущества, оборудования и другого имущества потребительского, социального, культурного и иного назначения на уровне не ниже определяемого установленными нормативами.</w:t>
      </w:r>
    </w:p>
    <w:p>
      <w:pPr>
        <w:pStyle w:val="ConsPlusNormal"/>
        <w:spacing w:lineRule="auto" w:line="22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Учреждение должно располагать материально-технической базой, обеспечивающей реализацию государственной услуги и соответствующей установленным санитарно-техническим нормам.</w:t>
      </w:r>
    </w:p>
    <w:p>
      <w:pPr>
        <w:pStyle w:val="ConsPlusNormal"/>
        <w:spacing w:lineRule="auto" w:line="22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Учреждения должно быть оснащено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предоставляемой услуги. </w:t>
      </w:r>
    </w:p>
    <w:p>
      <w:pPr>
        <w:pStyle w:val="ConsPlusNormal"/>
        <w:spacing w:lineRule="auto" w:line="22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</w:t>
      </w:r>
      <w:r>
        <w:rPr>
          <w:rFonts w:cs="Times New Roman" w:ascii="Times New Roman" w:hAnsi="Times New Roman"/>
          <w:b/>
          <w:sz w:val="28"/>
          <w:szCs w:val="28"/>
        </w:rPr>
        <w:t>. Требования к безопасности оказания государственной услуги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Учреждение должно быть зарегистрировано в качестве юридического лица в установленном законодательством порядке и иметь: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свидетельство о постановке на учет юридического лица в налоговом органе по месту нахождения на территории Российской Федерации;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свидетельство о внесении записи в Единый государственный реестр юридических лиц;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устав, зарегистрированный в установленном законодательством Российской Федерации порядке.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Помещения Учреждения должны соответствовать: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требованиям пожарной безопасности, установленным Федеральными законами от 21 декабря 1994 года № 69-ФЗ «О пожарной безопасности» и от 22 июля 2008 года № 123-ФЗ «Технический регламент о требованиях пожарной безопасности», постановлением Правительства Российской Федерации от 16 сентября 2020 г. № 1479 «Об утверждении Правил противопожарного режима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 31 августа 2020 г. № 628 «Об утверждении свода правил «Системы противопожарной защиты. Установки пожаротушения автоматические. Нормы и правила проектирования»;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санитарно-эпидемиологическим нормам, установленным федеральным законодательством;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требованиям безопасности и охраны труда.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VII</w:t>
      </w:r>
      <w:r>
        <w:rPr>
          <w:rFonts w:cs="Times New Roman" w:ascii="Times New Roman" w:hAnsi="Times New Roman"/>
          <w:b/>
          <w:sz w:val="28"/>
          <w:szCs w:val="28"/>
        </w:rPr>
        <w:t>. Требования, обеспечивающие доступность государственной услуги</w:t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получателей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7.1.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Все получатели государственной услуги имеют право доступа в места ожидания и приема получателей государственной услуги Учреждения.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7.2.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График работы Учреждения: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понедельник-четверг: 9:00-18:00, пятница: 9:00-16:45.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Перерыв на обед: 12:00-12:45.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Выходные дни: суббота, воскресенье.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изменения графика работы Учреждения получатели государственной услуги должны быть публично извещены об изменении графика работы (дней и часов работы) не менее чем за семь дней до вступления в силу таких изменений.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7.3. В случае превышения спроса на государственную услугу (спрос выше предложения в течение года) над возможностью ее предоставления очередность предоставления государственной услуги регулируется хронологическим порядком предварительной записи в журнале.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7.4. Показателями доступности предоставления государственной услуги являются: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расположенность помещения, в котором предоставляется государственная услуга в зоне доступности общественного транспорта;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предоставляется государственная услуга;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Учреждения;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оказание помощи инвалидам сотрудниками Учреждения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>
      <w:pPr>
        <w:pStyle w:val="ConsPlusNormal"/>
        <w:spacing w:lineRule="auto" w:line="2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VIII</w:t>
      </w:r>
      <w:r>
        <w:rPr>
          <w:rFonts w:cs="Times New Roman" w:ascii="Times New Roman" w:hAnsi="Times New Roman"/>
          <w:b/>
          <w:sz w:val="28"/>
          <w:szCs w:val="28"/>
        </w:rPr>
        <w:t>. Требования к уровню кадрового обеспечения оказания</w:t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государственной услуги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Учреждение должно быть укомплектовано квалифицированными специалистами в соответствии со штатным расписанием.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Каждый специалист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 в соответствии с квалификационными характеристиками должностей.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8.2. У специалистов каждой категории должны быть должностные инструкции, устанавливающие их обязанности и права, ответственность за оказываемые услуги.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8.3. Повышение квалификации специалистов и руководящих работников должно проводиться путем обучения по программам профессиональной переподготовки и повышения квалификации и (или) стажировки в организациях дополнительного профессионального образования, в образовательных организациях высшего образования и иных организациях, имеющих соответствующую лицензию.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IX</w:t>
      </w:r>
      <w:r>
        <w:rPr>
          <w:rFonts w:cs="Times New Roman" w:ascii="Times New Roman" w:hAnsi="Times New Roman"/>
          <w:b/>
          <w:sz w:val="28"/>
          <w:szCs w:val="28"/>
        </w:rPr>
        <w:t>. Требования к информационному обеспечению получателей государственной услуги при обращении за ее получением и в ходе оказания государственной услуги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9.1. В соответствии с требованиями Закона Российской Федерации</w:t>
        <w:br/>
        <w:t>от 7 февраля 1992 года № 2300-1 «О защите прав потребителей» Учреждение обязано довести до сведения получателей государственной услуги свои наименование, местонахождение (адрес) и график работы. Способ и порядок предоставления информации определяются в соответствии с законодательством Российской Федерации.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об оказываемых услугах должна доводиться до получателей государственной услуги через средства массовой информации и посредством электронного информирования в информационно-телекоммуникационной сети «Интернет».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9.2. Учреждение обязано своевременно предоставить получателям государственной услуги достоверную информацию о предоставляемых услугах, ознакомить с правилами и условиями пользования указанными услугами. В состав информации должны быть включены: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услуг, предоставляемых Учреждением;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характеристика услуг, предоставляемых Учреждением;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настоящем Стандарте;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средствах коммуникации с работниками Учреждения;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возможности оценки качества государственной услуги получателями государственной услуги;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и условия предоставления государственной услуги.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9.3. Информация о деятельности Учреждения, о порядке и правилах предоставления государственной услуги должна обновляться по мере необходимости.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b/>
          <w:sz w:val="28"/>
          <w:szCs w:val="28"/>
        </w:rPr>
        <w:t>. Исчерпывающий перечень оснований для отказа в предоставлении государственной услуги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10.1. Основания для приостановления предоставления государственной услуги отсутствуют.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Основания для отказа в предоставлении государственной услуги: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исключение государственной услуги из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утвержденного постановлением Кабинета Министров Республики Татарстан от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29.09.2015 № 726 «Об утверждении Примерного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ликвидация или реорганизация Учреждения;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обращение за получением государственной услуги в дни и часы, в которые Учреждение закрыто для посещения;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документов о предоставлении государственной услуги ненадлежащим лицом;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несоответствие представленных документов о предоставлении государственной услуги перечню документов, указанных в разделе </w:t>
      </w:r>
      <w:r>
        <w:rPr>
          <w:rFonts w:cs="Times New Roman" w:ascii="Times New Roman" w:hAnsi="Times New Roman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sz w:val="28"/>
          <w:szCs w:val="28"/>
        </w:rPr>
        <w:t xml:space="preserve"> настоящего Стандарта;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 заявлении о предоставлении государственной услуги и прилагаемых к заявлению документах неоговоренных исправлений, серьезных повреждений, не позволяющих однозначно истолковать их содержание;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наличие в запрашиваемой информации сведений, составляющих государственную или иную охраняемую законодательством Российской Федерации тайну.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Отказ в предоставлении государственной услуги по иным основаниям не допускается.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XI</w:t>
      </w:r>
      <w:r>
        <w:rPr>
          <w:rFonts w:cs="Times New Roman" w:ascii="Times New Roman" w:hAnsi="Times New Roman"/>
          <w:b/>
          <w:sz w:val="28"/>
          <w:szCs w:val="28"/>
        </w:rPr>
        <w:t>. Описание результата предоставления государственной услуги</w:t>
      </w:r>
    </w:p>
    <w:p>
      <w:pPr>
        <w:pStyle w:val="ConsPlusNormal"/>
        <w:spacing w:lineRule="auto" w:line="22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11.1. Информационное письмо оформляется на бланке Учреждения. В информационном письме указываются: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подписания и регистрационный номер информационного письма;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адресат;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тема информационного письма;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в соответствии с запросом;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подпись директора Учреждения (уполномоченного им лица);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печать Учреждения;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фамилия, имя, отчество исполнителя (полностью) и номер его телефона.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11.2. Получатель государственной услуги также может выбрать способ получения результата услуги: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лично (законным представителем юридического лица, уполномоченным лицом по доверенности);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простым почтовым или электронным отправлением.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11.3. Результат оказания государственной услуги описывается следующими индикаторами качества предоставления государственной услуги: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f9"/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5"/>
        <w:gridCol w:w="2245"/>
        <w:gridCol w:w="2594"/>
        <w:gridCol w:w="1926"/>
        <w:gridCol w:w="1544"/>
        <w:gridCol w:w="1576"/>
      </w:tblGrid>
      <w:tr>
        <w:trPr/>
        <w:tc>
          <w:tcPr>
            <w:tcW w:w="53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№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24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показателя (индикатора), единица измерения</w:t>
            </w:r>
          </w:p>
        </w:tc>
        <w:tc>
          <w:tcPr>
            <w:tcW w:w="259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Алгоритм расчета</w:t>
            </w:r>
          </w:p>
        </w:tc>
        <w:tc>
          <w:tcPr>
            <w:tcW w:w="192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Источник информации</w:t>
            </w:r>
          </w:p>
        </w:tc>
        <w:tc>
          <w:tcPr>
            <w:tcW w:w="154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Пороговое значение показателя (индикатора)</w:t>
            </w:r>
          </w:p>
        </w:tc>
        <w:tc>
          <w:tcPr>
            <w:tcW w:w="157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Весовой коэффициент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224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259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192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4</w:t>
            </w:r>
          </w:p>
        </w:tc>
        <w:tc>
          <w:tcPr>
            <w:tcW w:w="154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157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6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224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Доля получателей государственной услуги, получивших информационное письмо, в общей численности получателей государственной услуги, обратившихся в Учреждение с запросами, процентов</w:t>
            </w:r>
          </w:p>
        </w:tc>
        <w:tc>
          <w:tcPr>
            <w:tcW w:w="259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Пп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п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где: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Пп - число получателей государственной услуги, обратившихся в Учреждение с запросами и получивших информационное письмо;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 - общая численность получателей государственной услуги, обратившихся в Учреждение с запросами</w:t>
            </w:r>
          </w:p>
        </w:tc>
        <w:tc>
          <w:tcPr>
            <w:tcW w:w="192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 результатам мониторинга</w:t>
            </w:r>
          </w:p>
        </w:tc>
        <w:tc>
          <w:tcPr>
            <w:tcW w:w="154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100</w:t>
            </w:r>
          </w:p>
        </w:tc>
        <w:tc>
          <w:tcPr>
            <w:tcW w:w="157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10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224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Доля получателей государственной услуги, получивших уведомление о перенаправлении запроса, в общей численности получателей государственной услуги, обратившихся в Учреждение с запросами (если запрос не относится к компетенции и полномочиям Учреждения), процентов</w:t>
            </w:r>
          </w:p>
        </w:tc>
        <w:tc>
          <w:tcPr>
            <w:tcW w:w="259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kern w:val="0"/>
                <w:lang w:val="ru-RU" w:bidi="ar-SA"/>
              </w:rPr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А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где: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 - число получателей государственной услуги, обратившихся в Учреждение с запросами и получивших уведомление о перенаправлении запроса;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 - общая численность получателей государственной услуги, обратившихся в Учреждение с запросами</w:t>
            </w:r>
          </w:p>
        </w:tc>
        <w:tc>
          <w:tcPr>
            <w:tcW w:w="192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 результатам мониторинга</w:t>
            </w:r>
          </w:p>
        </w:tc>
        <w:tc>
          <w:tcPr>
            <w:tcW w:w="154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20</w:t>
            </w:r>
          </w:p>
        </w:tc>
        <w:tc>
          <w:tcPr>
            <w:tcW w:w="157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8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224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Индекс удовлетворенности получателей услуги, процентов</w:t>
            </w:r>
          </w:p>
        </w:tc>
        <w:tc>
          <w:tcPr>
            <w:tcW w:w="259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kern w:val="0"/>
                <w:lang w:val="ru-RU" w:bidi="ar-SA"/>
              </w:rPr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Оп</m:t>
                        </m:r>
                        <m:r>
                          <w:rPr>
                            <w:rFonts w:ascii="Cambria Math" w:hAnsi="Cambria Math"/>
                          </w:rPr>
                          <m:t xml:space="preserve">+</m:t>
                        </m:r>
                        <m:r>
                          <w:rPr>
                            <w:rFonts w:ascii="Cambria Math" w:hAnsi="Cambria Math"/>
                          </w:rPr>
                          <m:t xml:space="preserve">Од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 xml:space="preserve">2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</w:rPr>
                      <m:t xml:space="preserve">О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где: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Оп - число опрошенных, удовлетворенных качеством государственной услуги;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Од - число опрошенных, удовлетворенных доступностью государственной услуги;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 - общее число опрошенных</w:t>
            </w:r>
          </w:p>
        </w:tc>
        <w:tc>
          <w:tcPr>
            <w:tcW w:w="192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определяется по результатам опросов получателей государственной услуги</w:t>
            </w:r>
          </w:p>
        </w:tc>
        <w:tc>
          <w:tcPr>
            <w:tcW w:w="154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100</w:t>
            </w:r>
          </w:p>
        </w:tc>
        <w:tc>
          <w:tcPr>
            <w:tcW w:w="157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10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224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Доля обоснованных жалоб получателей государственной услуги, поступивших в Учреждение</w:t>
            </w:r>
          </w:p>
        </w:tc>
        <w:tc>
          <w:tcPr>
            <w:tcW w:w="2594" w:type="dxa"/>
            <w:tcBorders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kern w:val="0"/>
                <w:lang w:val="ru-RU" w:bidi="ar-SA"/>
              </w:rPr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Жм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Ж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  <m:r>
                  <w:rPr>
                    <w:rFonts w:ascii="Cambria Math" w:hAnsi="Cambria Math"/>
                  </w:rPr>
                  <m:t xml:space="preserve">,</m:t>
                </m:r>
              </m:oMath>
            </m:oMathPara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где: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Жм - число обоснованных жалоб получателей государственной услуги, поступивших в Учреждение;</w:t>
            </w:r>
          </w:p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Ж - общее число жалоб получателей государственной услуги, поступивших в Учреждение</w:t>
            </w:r>
          </w:p>
        </w:tc>
        <w:tc>
          <w:tcPr>
            <w:tcW w:w="192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определяется на основании анализа жалоб, поступивших в виде писем граждан по почте либо электронной почте</w:t>
            </w:r>
          </w:p>
        </w:tc>
        <w:tc>
          <w:tcPr>
            <w:tcW w:w="154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57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</w:tr>
      <w:tr>
        <w:trPr/>
        <w:tc>
          <w:tcPr>
            <w:tcW w:w="53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2245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Наличие случаев нарушения безопасности жизнедеятельности, единиц</w:t>
            </w:r>
          </w:p>
        </w:tc>
        <w:tc>
          <w:tcPr>
            <w:tcW w:w="259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количество случаев, связанных с нарушением требований охраны труда, неудовлетворительным состоянием материальной базы учреждения</w:t>
            </w:r>
          </w:p>
        </w:tc>
        <w:tc>
          <w:tcPr>
            <w:tcW w:w="192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определяется по результатам проверок</w:t>
            </w:r>
          </w:p>
        </w:tc>
        <w:tc>
          <w:tcPr>
            <w:tcW w:w="1544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1576" w:type="dxa"/>
            <w:tcBorders/>
          </w:tcPr>
          <w:p>
            <w:pPr>
              <w:pStyle w:val="ConsPlusNormal"/>
              <w:widowControl w:val="false"/>
              <w:spacing w:lineRule="auto" w:line="228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</w:tr>
    </w:tbl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XII</w:t>
      </w:r>
      <w:r>
        <w:rPr>
          <w:rFonts w:cs="Times New Roman" w:ascii="Times New Roman" w:hAnsi="Times New Roman"/>
          <w:b/>
          <w:sz w:val="28"/>
          <w:szCs w:val="28"/>
        </w:rPr>
        <w:t>. Порядок подачи, регистрации и рассмотрения жалоб на несоблюдение стандарта качества государственной услуги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12.1. Жалоба может быть подана в письменной форме на бумажном носителе, в электронной форме в Учреждение.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Жалобы на решения и действия (бездействие) руководителя Учреждения подаются в Министерство экономики Республики Татарстан или Министерство сельского хозяйства и продовольствия Республики Татарстан (по принадлежности вопроса).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жалобы осуществляется в день поступления жалобы.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12.2. Жалоба на решения и действия (бездействие) Учреждения, должностного лица Учреждения, руководителя Учреждения может быть направлена по почте, с использованием информационно-телекоммуникационной сети «Интернет», а также может быть принята при личном приеме получателя государственной услуги. 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12.3. Жалоба должна отвечать требованиям, установленным законодательством Российской Федерации.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12.4. Жалоба, поступившая в Учреждение, подлежит рассмотрению в течение 15 рабочих дней со дня ее регистрации, а в случае обжалования отказа Учреждения в приеме документов у получателя государственной услуги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12.5. По результатам рассмотрения жалобы принимается решение в соответствии с законодательством не позднее дня, следующего за днем принятия решения, получателю государственной услуги в письменной форме и по желанию получателя государственной услуги в электронной форме направляется мотивированный ответ о результатах рассмотрения жалобы.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12.6. В случае признания жалобы подлежащей удовлетворению в ответе получателю государственной услуги дается информация о действиях, осуществляемых Учреждением,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получателю государственной услуги в целях получения государственной услуги.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12.7. В случае признания жалобы не подлежащей удовлетворению в ответе получателю государственной услуги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12.9. Получатель государственной услуги вправе обжаловать решения и действия (бездействие), связанные с предоставлением государственной услуги, в судебном порядке в соответствии с законодательством Российской Федерации.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XIII</w:t>
      </w:r>
      <w:r>
        <w:rPr>
          <w:rFonts w:cs="Times New Roman" w:ascii="Times New Roman" w:hAnsi="Times New Roman"/>
          <w:b/>
          <w:sz w:val="28"/>
          <w:szCs w:val="28"/>
        </w:rPr>
        <w:t>. Порядок контроля за предоставлением государственной услуги со стороны органов государственной власти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13.1. Контроль за предоставлением государственной услуги со стороны органов государственной власти осуществляется в соответствии с постановлением Кабинета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учреждениями Республики Татарстан».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XIV</w:t>
      </w:r>
      <w:r>
        <w:rPr>
          <w:rFonts w:cs="Times New Roman" w:ascii="Times New Roman" w:hAnsi="Times New Roman"/>
          <w:b/>
          <w:sz w:val="28"/>
          <w:szCs w:val="28"/>
        </w:rPr>
        <w:t>. Информация о предоставлении государственной услуги за плату</w:t>
      </w:r>
    </w:p>
    <w:p>
      <w:pPr>
        <w:pStyle w:val="ConsPlusNormal"/>
        <w:spacing w:lineRule="auto" w:line="2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или бесплатно</w:t>
      </w:r>
    </w:p>
    <w:p>
      <w:pPr>
        <w:pStyle w:val="ConsPlusNormal"/>
        <w:spacing w:lineRule="auto" w:line="22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2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14.1. Государственная услуга предоставляется бесплатно.</w:t>
      </w:r>
    </w:p>
    <w:sectPr>
      <w:headerReference w:type="default" r:id="rId2"/>
      <w:type w:val="nextPage"/>
      <w:pgSz w:w="11906" w:h="16838"/>
      <w:pgMar w:left="1134" w:right="567" w:gutter="0" w:header="567" w:top="1134" w:footer="0" w:bottom="426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010093"/>
    </w:sdtPr>
    <w:sdtContent>
      <w:p>
        <w:pPr>
          <w:pStyle w:val="Style3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  <w:p>
        <w:pPr>
          <w:pStyle w:val="Style32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i/>
      <w:iCs/>
      <w:color w:val="2E74B5" w:themeColor="accent1" w:themeShade="bf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color w:val="2E74B5" w:themeColor="accent1" w:themeShade="bf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8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0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1">
    <w:name w:val="Endnote Reference"/>
    <w:rPr>
      <w:vertAlign w:val="superscript"/>
    </w:rPr>
  </w:style>
  <w:style w:type="character" w:styleId="Style12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11" w:customStyle="1">
    <w:name w:val="Заголовок 1 Знак"/>
    <w:basedOn w:val="DefaultParagraphFont"/>
    <w:uiPriority w:val="9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Pr>
      <w:b/>
      <w:bCs/>
      <w:sz w:val="20"/>
      <w:szCs w:val="20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8" w:customStyle="1">
    <w:name w:val="Текст сноски Знак"/>
    <w:basedOn w:val="DefaultParagraphFont"/>
    <w:uiPriority w:val="99"/>
    <w:semiHidden/>
    <w:qFormat/>
    <w:rPr>
      <w:rFonts w:ascii="Calibri" w:hAnsi="Calibri" w:eastAsia="Calibri" w:cs="Calibri"/>
      <w:sz w:val="20"/>
      <w:szCs w:val="20"/>
    </w:rPr>
  </w:style>
  <w:style w:type="character" w:styleId="Style19">
    <w:name w:val="Символ сноски"/>
    <w:uiPriority w:val="99"/>
    <w:semiHidden/>
    <w:unhideWhenUsed/>
    <w:qFormat/>
    <w:rPr>
      <w:vertAlign w:val="superscript"/>
    </w:rPr>
  </w:style>
  <w:style w:type="character" w:styleId="Style20">
    <w:name w:val="Foot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Astra Serif" w:hAnsi="PT Astra Serif"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6">
    <w:name w:val="Title"/>
    <w:basedOn w:val="Normal"/>
    <w:next w:val="Normal"/>
    <w:link w:val="Style5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7">
    <w:name w:val="Subtitle"/>
    <w:basedOn w:val="Normal"/>
    <w:next w:val="Normal"/>
    <w:link w:val="Style6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pPr>
      <w:spacing w:before="160" w:after="20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/>
    </w:pPr>
    <w:rPr>
      <w:i/>
      <w:iCs/>
      <w:color w:val="44546A" w:themeColor="text2"/>
      <w:sz w:val="18"/>
      <w:szCs w:val="18"/>
    </w:rPr>
  </w:style>
  <w:style w:type="paragraph" w:styleId="Style28">
    <w:name w:val="Endnote Text"/>
    <w:basedOn w:val="Normal"/>
    <w:link w:val="Style9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Style29">
    <w:name w:val="Index Heading"/>
    <w:basedOn w:val="Style21"/>
    <w:pPr/>
    <w:rPr/>
  </w:style>
  <w:style w:type="paragraph" w:styleId="Style30">
    <w:name w:val="TOC Heading"/>
    <w:uiPriority w:val="39"/>
    <w:unhideWhenUsed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ConsPlusNormal" w:customStyle="1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Header"/>
    <w:basedOn w:val="Normal"/>
    <w:link w:val="Style1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Footer"/>
    <w:basedOn w:val="Normal"/>
    <w:link w:val="Style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6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pPr/>
    <w:rPr>
      <w:b/>
      <w:bCs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ru-RU" w:val="ru-RU" w:bidi="ar-SA"/>
    </w:rPr>
  </w:style>
  <w:style w:type="paragraph" w:styleId="HTMLPreformatted">
    <w:name w:val="HTML Preformatted"/>
    <w:basedOn w:val="Normal"/>
    <w:link w:val="HTML"/>
    <w:uiPriority w:val="99"/>
    <w:unhideWhenUsed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34">
    <w:name w:val="Footnote Text"/>
    <w:basedOn w:val="Normal"/>
    <w:link w:val="Style18"/>
    <w:uiPriority w:val="99"/>
    <w:semiHidden/>
    <w:unhideWhenUsed/>
    <w:pPr>
      <w:spacing w:lineRule="auto" w:line="240" w:before="0" w:after="0"/>
    </w:pPr>
    <w:rPr>
      <w:rFonts w:ascii="Calibri" w:hAnsi="Calibri" w:eastAsia="Calibri" w:cs="Calibr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9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2DA5-3F14-4A58-AFF1-35106B10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LibreOffice/7.5.6.2$Linux_X86_64 LibreOffice_project/50$Build-2</Application>
  <AppVersion>15.0000</AppVersion>
  <Pages>14</Pages>
  <Words>2937</Words>
  <Characters>23080</Characters>
  <CharactersWithSpaces>25877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2025-06-11T13:32:00Z</dcterms:created>
  <dc:creator>Зотина Алёна</dc:creator>
  <dc:description/>
  <dc:language>ru-RU</dc:language>
  <cp:lastModifiedBy/>
  <cp:lastPrinted>2025-06-20T12:52:00Z</cp:lastPrinted>
  <dcterms:modified xsi:type="dcterms:W3CDTF">2025-06-24T10:28:40Z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