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19.xml" ContentType="application/vnd.openxmlformats-officedocument.wordprocessingml.header+xml"/>
  <Override PartName="/word/header9.xml" ContentType="application/vnd.openxmlformats-officedocument.wordprocessingml.header+xml"/>
  <Override PartName="/word/footer21.xml" ContentType="application/vnd.openxmlformats-officedocument.wordprocessingml.footer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header8.xml" ContentType="application/vnd.openxmlformats-officedocument.wordprocessingml.header+xml"/>
  <Override PartName="/word/footer20.xml" ContentType="application/vnd.openxmlformats-officedocument.wordprocessingml.footer+xml"/>
  <Override PartName="/word/header17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header6.xml" ContentType="application/vnd.openxmlformats-officedocument.wordprocessingml.header+xml"/>
  <Override PartName="/word/header15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header4.xml" ContentType="application/vnd.openxmlformats-officedocument.wordprocessingml.header+xml"/>
  <Override PartName="/word/header13.xml" ContentType="application/vnd.openxmlformats-officedocument.wordprocessingml.header+xml"/>
  <Override PartName="/word/header3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header1.xml" ContentType="application/vnd.openxmlformats-officedocument.wordprocessingml.header+xml"/>
  <Override PartName="/word/header36.xml" ContentType="application/vnd.openxmlformats-officedocument.wordprocessingml.header+xml"/>
  <Override PartName="/word/header10.xml" ContentType="application/vnd.openxmlformats-officedocument.wordprocessingml.header+xml"/>
  <Override PartName="/word/header35.xml" ContentType="application/vnd.openxmlformats-officedocument.wordprocessingml.header+xml"/>
  <Override PartName="/word/document.xml" ContentType="application/vnd.openxmlformats-officedocument.wordprocessingml.document.main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oter24.xml" ContentType="application/vnd.openxmlformats-officedocument.wordprocessingml.foot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footer27.xml" ContentType="application/vnd.openxmlformats-officedocument.wordprocessingml.footer+xml"/>
  <Override PartName="/word/header32.xml" ContentType="application/vnd.openxmlformats-officedocument.wordprocessingml.header+xml"/>
  <Override PartName="/word/footer25.xml" ContentType="application/vnd.openxmlformats-officedocument.wordprocessingml.footer+xml"/>
  <Override PartName="/word/header30.xml" ContentType="application/vnd.openxmlformats-officedocument.wordprocessingml.header+xml"/>
  <Override PartName="/word/footer32.xml" ContentType="application/vnd.openxmlformats-officedocument.wordprocessingml.footer+xml"/>
  <Override PartName="/word/footer26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29.xml" ContentType="application/vnd.openxmlformats-officedocument.wordprocessingml.footer+xml"/>
  <Override PartName="/word/header33.xml" ContentType="application/vnd.openxmlformats-officedocument.wordprocessingml.header+xml"/>
  <Override PartName="/word/footer28.xml" ContentType="application/vnd.openxmlformats-officedocument.wordprocessingml.foot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header27.xml" ContentType="application/vnd.openxmlformats-officedocument.wordprocessingml.header+xml"/>
  <Override PartName="/word/footer23.xml" ContentType="application/vnd.openxmlformats-officedocument.wordprocessingml.footer+xml"/>
  <Override PartName="/word/footer22.xml" ContentType="application/vnd.openxmlformats-officedocument.wordprocessingml.footer+xml"/>
  <Override PartName="/word/header26.xml" ContentType="application/vnd.openxmlformats-officedocument.wordprocessingml.header+xml"/>
  <Override PartName="/word/header25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Исполнительного комитета от 19.10.2022 № 5650 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«Об утверждении муниципальной программы 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развития культуры в городе Набережные Челны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 2023-2025 годы» 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статьёй 53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Устав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                            и оценки эффективности муниципальных программ»</w:t>
      </w:r>
    </w:p>
    <w:p>
      <w:pPr>
        <w:pStyle w:val="Normal"/>
        <w:spacing w:lineRule="auto" w:line="240" w:before="0" w:after="0"/>
        <w:ind w:firstLine="567" w:right="-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 О С Т А Н О В Л Я Ю: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Внести в Постановление Исполнительного комитета от 19.10.2022 № 5650                            «Об утверждении муниципальной программы развития культуры в городе Набережные Челны на 2023-2025 годы» (в редакции Постановлений Исполнительного комитета                               от 31.03.2023 № 2596, от 23.06.20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23 № 5480, от 15.12.2023 № 12181, от 22.03.2024 № 1780, от 20.08.2024 № 5455, от 10.01.20</w:t>
      </w:r>
      <w:r>
        <w:rPr>
          <w:rFonts w:eastAsia="Tinos" w:cs="Tinos" w:ascii="Tinos" w:hAnsi="Tinos"/>
          <w:b w:val="false"/>
          <w:bCs w:val="false"/>
          <w:color w:themeColor="text1" w:val="000000"/>
          <w:sz w:val="24"/>
          <w:szCs w:val="24"/>
          <w:highlight w:val="white"/>
          <w:lang w:eastAsia="ru-RU"/>
        </w:rPr>
        <w:t xml:space="preserve">25 № 17, </w:t>
      </w:r>
      <w:r>
        <w:rPr>
          <w:rFonts w:eastAsia="Tinos" w:cs="Tinos" w:ascii="Tinos" w:hAnsi="Tinos"/>
          <w:b w:val="false"/>
          <w:bCs w:val="false"/>
          <w:color w:themeColor="text1" w:val="000000"/>
          <w:sz w:val="24"/>
          <w:szCs w:val="24"/>
          <w:highlight w:val="white"/>
          <w:lang w:eastAsia="ru-RU"/>
        </w:rPr>
        <w:t xml:space="preserve">от </w:t>
      </w:r>
      <w:r>
        <w:rPr>
          <w:rFonts w:eastAsia="Tinos" w:cs="Tinos" w:ascii="Tinos" w:hAnsi="Tinos"/>
          <w:b w:val="false"/>
          <w:bCs w:val="false"/>
          <w:color w:themeColor="text1" w:val="000000"/>
          <w:sz w:val="24"/>
          <w:szCs w:val="24"/>
          <w:highlight w:val="white"/>
        </w:rPr>
        <w:t>14.03.2025</w:t>
      </w:r>
      <w:r>
        <w:rPr>
          <w:rFonts w:eastAsia="Tinos" w:cs="Tinos" w:ascii="Tinos" w:hAnsi="Tinos"/>
          <w:b w:val="false"/>
          <w:bCs w:val="false"/>
          <w:color w:themeColor="text1" w:val="000000"/>
          <w:sz w:val="24"/>
          <w:szCs w:val="24"/>
          <w:highlight w:val="white"/>
          <w:lang w:eastAsia="ru-RU"/>
        </w:rPr>
        <w:t xml:space="preserve"> № 19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86) сл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едующие изменения: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1) пункт 2 изложить в следующей редакции: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«2. Управлению финансов Исполнительного комитета обеспечить финансирование мероприятий по реализации муниципальной программы развития культуры в городе Набережные Челны на 2023-2025 годы за счет средств, предусмотренных в бюджете                  города по разделу (подразделу) 0703 «Дополнительное образование детей», 0801 «Культура» в размере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1 875 663,04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тыс. рублей: 2023 году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580 850,16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тыс. рублей;                                  2024 году 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619 598,48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тыс. рублей; 2025 году — 675 214,40 тыс. рублей.»;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2) в муниципальной программе развития культуры в городе Набережные Челны                        на 2023-2025 годы: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 главе 1: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строке «Основание для разработки программы (наименование, номер и дата правового акта)» слова «</w:t>
      </w:r>
      <w:r>
        <w:rPr>
          <w:rFonts w:cs="Times New Roman" w:ascii="Times New Roman" w:hAnsi="Times New Roman"/>
          <w:color w:val="000000"/>
          <w:sz w:val="24"/>
          <w:szCs w:val="22"/>
          <w:lang w:eastAsia="ru-RU"/>
        </w:rPr>
        <w:t>Федеральный закон от 06.10.2003 № 131-ФЗ» заменить словами «статья 16 Федерального закона  от 06.10.2003 № 131-ФЗ»;</w:t>
      </w:r>
    </w:p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pacing w:lineRule="auto" w:line="240" w:before="0" w:after="0"/>
        <w:ind w:firstLine="567" w:right="-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tbl>
      <w:tblPr>
        <w:tblStyle w:val="1483"/>
        <w:tblW w:w="97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35"/>
        <w:gridCol w:w="2616"/>
        <w:gridCol w:w="1277"/>
        <w:gridCol w:w="1422"/>
        <w:gridCol w:w="1270"/>
        <w:gridCol w:w="1517"/>
      </w:tblGrid>
      <w:tr>
        <w:trPr/>
        <w:tc>
          <w:tcPr>
            <w:tcW w:w="1635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«Объемы 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финансирования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 разбивкой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9" w:leader="none"/>
                <w:tab w:val="left" w:pos="1593" w:leader="none"/>
              </w:tabs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 годам</w:t>
            </w:r>
          </w:p>
        </w:tc>
        <w:tc>
          <w:tcPr>
            <w:tcW w:w="2616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Источники финансирования</w:t>
            </w:r>
          </w:p>
        </w:tc>
        <w:tc>
          <w:tcPr>
            <w:tcW w:w="5486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Годы реализации программы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 год (тыс.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рублей)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 год (тыс.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рублей)</w:t>
            </w:r>
          </w:p>
        </w:tc>
        <w:tc>
          <w:tcPr>
            <w:tcW w:w="1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 год (тыс.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рублей)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142" w:right="-110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Всего за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42" w:right="-110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период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42" w:right="-110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реализации (тыс. рублей)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Муниципальный бюджет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580 850,16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619 598,48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675 214,40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1 875 663,04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Федеральный бюджет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Прочие источники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63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both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580 850,16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619 598,48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675 214,40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1 875 663,04»;</w:t>
            </w:r>
          </w:p>
        </w:tc>
      </w:tr>
    </w:tbl>
    <w:p>
      <w:pPr>
        <w:pStyle w:val="Normal"/>
        <w:spacing w:lineRule="auto" w:line="240" w:before="0" w:after="0"/>
        <w:ind w:firstLine="567"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главу 4 изложить в новой редакции согласно приложению.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Управлению делопроизводством Исполнительного комитета обеспечить  официальное опубликование настоящего постановления и размещение его                                    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http</w:t>
      </w:r>
      <w:r>
        <w:rPr>
          <w:rFonts w:cs="Times New Roman" w:ascii="Times New Roman" w:hAnsi="Times New Roman"/>
          <w:color w:val="000000"/>
          <w:sz w:val="24"/>
          <w:szCs w:val="24"/>
        </w:rPr>
        <w:t>://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pravo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tatarstan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color w:val="000000"/>
          <w:sz w:val="24"/>
          <w:szCs w:val="24"/>
        </w:rPr>
        <w:t>), на официальном сайте города Набережные Челны                                     в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Руководитель</w:t>
      </w:r>
    </w:p>
    <w:p>
      <w:pPr>
        <w:pStyle w:val="Normal"/>
        <w:spacing w:lineRule="auto" w:line="240" w:before="0" w:after="0"/>
        <w:ind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Исполнительного комитета                                                                                 Ф.Ш. Салахов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360" w:before="0" w:after="0"/>
        <w:ind w:right="-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4"/>
        </w:rPr>
        <w:tab/>
      </w:r>
    </w:p>
    <w:p>
      <w:pPr>
        <w:pStyle w:val="Normal"/>
        <w:spacing w:lineRule="auto" w:line="240" w:before="0" w:after="0"/>
        <w:ind w:firstLine="8477" w:left="-2807" w:right="-1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</w:t>
      </w:r>
    </w:p>
    <w:p>
      <w:pPr>
        <w:pStyle w:val="Normal"/>
        <w:spacing w:lineRule="auto" w:line="240" w:before="0" w:after="0"/>
        <w:ind w:firstLine="8477" w:left="-2807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ind w:firstLine="8477" w:left="-2807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Исполнительного комитета</w:t>
      </w:r>
    </w:p>
    <w:p>
      <w:pPr>
        <w:pStyle w:val="Normal"/>
        <w:spacing w:lineRule="auto" w:line="240" w:before="0" w:after="0"/>
        <w:ind w:firstLine="8477" w:left="-2807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«____» _______2025 №____</w:t>
      </w:r>
    </w:p>
    <w:p>
      <w:pPr>
        <w:pStyle w:val="Normal"/>
        <w:spacing w:lineRule="auto" w:line="240" w:before="0" w:after="0"/>
        <w:ind w:firstLine="11907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 xml:space="preserve">Глава 4. Перечень и краткое описание программных мероприятий с указанием </w:t>
        <w:br/>
        <w:t>сроков реализации и ответственных исполнителей</w:t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Normal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Подпрограмма «Развитие библиотечного дела на 2023-2025 годы»</w:t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90"/>
        <w:gridCol w:w="1938"/>
        <w:gridCol w:w="1304"/>
        <w:gridCol w:w="1362"/>
        <w:gridCol w:w="1419"/>
        <w:gridCol w:w="1846"/>
      </w:tblGrid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Наименование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Развитие библиотечного дела на 2023-2025 годы (далее – подпрограмма)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Основание для разработки подрограммы (наименование, номер и дата правового акта)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Федеральный закон от 29.12.1994 </w:t>
            </w:r>
            <w:hyperlink r:id="rId4" w:tgtFrame="consultantplus://offline/ref=7978E8D406221BDD878B02A67BF2BCA9C99F4379BA48B27B7FAA32E3ECEEDB9AC7E127736EFD01A6984500DDEB49pDG">
              <w:r>
                <w:rPr>
                  <w:rStyle w:val="ListLabel10"/>
                  <w:rFonts w:eastAsia="Times New Roman" w:cs="Times New Roman" w:ascii="Times New Roman" w:hAnsi="Times New Roman"/>
                  <w:color w:val="000000"/>
                  <w:sz w:val="22"/>
                  <w:szCs w:val="22"/>
                  <w:lang w:val="ru-RU" w:eastAsia="ru-RU" w:bidi="ar-SA"/>
                </w:rPr>
                <w:t>№ 78-ФЗ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«О библиотечном деле», статья 16 Федерального закона  от 06.10.2003 № 131-ФЗ «Об общих принципах организации местного самоуправления в Российской Федерации», </w:t>
            </w:r>
            <w:hyperlink r:id="rId5" w:tgtFrame="consultantplus://offline/ref=7978E8D406221BDD878B1CAB6D9EE1A2C8941C74B843BA2C2BFC34B4B3BEDDCF95A1792A3EB14AAB9B531CDDE88A7AC4664Ap6G">
              <w:r>
                <w:rPr>
                  <w:rStyle w:val="ListLabel10"/>
                  <w:rFonts w:eastAsia="Times New Roman" w:cs="Times New Roman" w:ascii="Times New Roman" w:hAnsi="Times New Roman"/>
                  <w:color w:val="000000"/>
                  <w:sz w:val="22"/>
                  <w:szCs w:val="22"/>
                  <w:lang w:val="ru-RU" w:eastAsia="ru-RU" w:bidi="ar-SA"/>
                </w:rPr>
                <w:t>Закон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Основные разработчики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Исполнители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Задачи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1.</w:t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2.</w:t>
              <w:tab/>
              <w:t>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Сроки и этапы реализации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2023 - 2025 годы</w:t>
            </w:r>
          </w:p>
        </w:tc>
      </w:tr>
      <w:tr>
        <w:trPr/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год (тыс. рублей)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110 891,90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117 840,14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117 817,88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346 549,92</w:t>
            </w:r>
          </w:p>
        </w:tc>
      </w:tr>
      <w:tr>
        <w:trPr/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110 891,9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117 840,14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117 817,88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346 549,92</w:t>
            </w:r>
          </w:p>
        </w:tc>
      </w:tr>
      <w:tr>
        <w:trPr>
          <w:trHeight w:val="1919" w:hRule="atLeast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Ожидаемые результаты реализации подпрограммы и  показатели эффективности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пополнение библиотечных фондов для полного удовлетворения читательских потребностей населения города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пополнение библиотек периодическими изданиями для полного удовлетворения читательских потребностей населения города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удовлетворение культурных и духовных потребностей жителей города, популяризация чтения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удовлетворение культурных и духовных потребностей жителей города, популяризация чтения (человек)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Содержание проблемы, на решение которой направлена подпрограмма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 xml:space="preserve">В настоящее время требуется капитальный ремонт МБУ «Централизованная библиотечная система». 18 городских библиотек нуждаются в обеспечении помещениями, соответствующими требованиям. Сокращается объем поступлений литературы в городские библиотеки. Средняя книгообеспеченность на 1 жителя города составляет лишь 1,4 (в Российской Федерации - 7,0;                     в Республике Татарстан - 6,0); на 1 читателя - 12 книг (в Российской Федерации - 17,5;                              в Республике Татарстан - 16). </w:t>
      </w:r>
    </w:p>
    <w:p>
      <w:pPr>
        <w:pStyle w:val="ConsPlusNormal"/>
        <w:ind w:firstLine="540"/>
        <w:jc w:val="both"/>
        <w:rPr/>
      </w:pPr>
      <w:hyperlink w:anchor="P320" w:tgtFrame="#P320">
        <w:r>
          <w:rPr>
            <w:rStyle w:val="ListLabel10"/>
            <w:rFonts w:cs="Times New Roman" w:ascii="Times New Roman" w:hAnsi="Times New Roman"/>
            <w:color w:val="000000"/>
            <w:szCs w:val="22"/>
          </w:rPr>
          <w:t>Подпрограмма</w:t>
        </w:r>
      </w:hyperlink>
      <w:r>
        <w:rPr>
          <w:rFonts w:cs="Times New Roman" w:ascii="Times New Roman" w:hAnsi="Times New Roman"/>
          <w:color w:val="000000"/>
          <w:szCs w:val="22"/>
        </w:rPr>
        <w:t xml:space="preserve"> «Развитие библиотечного дела на 2023 - 2025 годы»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                        и развитие библиотечных фондов.</w:t>
      </w:r>
    </w:p>
    <w:p>
      <w:pPr>
        <w:sectPr>
          <w:headerReference w:type="default" r:id="rId6"/>
          <w:headerReference w:type="first" r:id="rId7"/>
          <w:footerReference w:type="default" r:id="rId8"/>
          <w:type w:val="nextPage"/>
          <w:pgSz w:w="11906" w:h="16838"/>
          <w:pgMar w:left="1701" w:right="851" w:gutter="0" w:header="0" w:top="1134" w:footer="0" w:bottom="1134"/>
          <w:pgNumType w:start="1" w:fmt="decimal"/>
          <w:formProt w:val="false"/>
          <w:textDirection w:val="lrTb"/>
          <w:docGrid w:type="default" w:linePitch="360" w:charSpace="0"/>
        </w:sect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Реализация данной подпрограммы позволит преодолеть существующие трудности                              в деятельности учреждения сферы культуры, обеспечить целенаправленную работу по пополнению библиотечных фондов, периодическими изданиями для полного удовлетворения читательских потребностей населения города, удовлетворению культурных и духовных потребностей жителей города, популяризация чтения. Подпрограмма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ConsPlusTitle"/>
        <w:numPr>
          <w:ilvl w:val="0"/>
          <w:numId w:val="0"/>
        </w:numPr>
        <w:ind w:hanging="0" w:left="-567" w:right="-881"/>
        <w:jc w:val="center"/>
        <w:outlineLvl w:val="3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Цели, задачи, индикаторы оценки результатов, мероприятия и финансирование подпрограммы «Развитие библиотечного дела на 2023 - 2025 годы»   </w:t>
      </w:r>
    </w:p>
    <w:p>
      <w:pPr>
        <w:pStyle w:val="ConsPlusTitle"/>
        <w:numPr>
          <w:ilvl w:val="0"/>
          <w:numId w:val="0"/>
        </w:numPr>
        <w:ind w:hanging="0" w:left="-567" w:right="-881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16021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11"/>
        <w:gridCol w:w="1700"/>
        <w:gridCol w:w="1134"/>
        <w:gridCol w:w="1418"/>
        <w:gridCol w:w="851"/>
        <w:gridCol w:w="852"/>
        <w:gridCol w:w="849"/>
        <w:gridCol w:w="1279"/>
        <w:gridCol w:w="1134"/>
        <w:gridCol w:w="1275"/>
        <w:gridCol w:w="2693"/>
      </w:tblGrid>
      <w:tr>
        <w:trPr/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Сроки выполне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ния основных мероприя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Значения индикаторов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 «Централизован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экземпляров новых поступлений в библиотечные фонды в год,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>
        <w:trPr>
          <w:trHeight w:val="161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 «Централизован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наименований подписки,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Проведение городских массовых мероприятий, направленных на развитие библиотечного дела и популяризацию чтения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 «Централизован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>
        <w:trPr>
          <w:trHeight w:val="2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Оказание услуг (выполнение работ) в области библиотечного 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 «Централизован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посещений мероприятий библиотек,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76 000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76 500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77 000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FFFFFF" w:val="clear"/>
              </w:rPr>
              <w:t>99 841,91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FFFFFF" w:val="clear"/>
              </w:rPr>
              <w:t>116 790,14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FFFFFF" w:val="clear"/>
              </w:rPr>
              <w:t>116 767,88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>
        <w:trPr>
          <w:trHeight w:val="2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Федеральный проект «Культурная среда» национального проекта «Культура»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 «Централизован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Переосна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щение муниципаль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ной библиотеки по единому модельному стандарту,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Удовлетворение культурных и духовных потребностей жителей города, популяриза-ция чтения</w:t>
            </w:r>
            <w:bookmarkStart w:id="1" w:name="P465"/>
            <w:bookmarkEnd w:id="1"/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1134" w:gutter="0" w:header="0" w:top="850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Подпрограмма «Развитие музейного дела на 2023 - 2025 годы»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935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99"/>
        <w:gridCol w:w="1700"/>
        <w:gridCol w:w="1279"/>
        <w:gridCol w:w="1418"/>
        <w:gridCol w:w="1705"/>
        <w:gridCol w:w="1554"/>
      </w:tblGrid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Наименование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Развитие музейного дела на 2023 - 2025 годы (далее - подпрограмма)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татья 16 Федерального закона  от 06.10.2003 № 131-ФЗ «Об общих принципах организации местного самоуправления в Российской Федерации»,</w: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</w:t>
            </w:r>
            <w:hyperlink r:id="rId13" w:tgtFrame="consultantplus://offline/ref=7978E8D406221BDD878B1CAB6D9EE1A2C8941C74B843BA2C2BFC34B4B3BEDDCF95A1792A3EB14AAB9B531CDDE88A7AC4664Ap6G">
              <w:r>
                <w:rPr>
                  <w:rStyle w:val="ListLabel10"/>
                  <w:rFonts w:cs="Times New Roman" w:ascii="Times New Roman" w:hAnsi="Times New Roman"/>
                  <w:color w:val="000000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Основные разработчики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828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Исполнители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108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>
        <w:trPr>
          <w:trHeight w:val="1972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Задачи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1.</w:t>
              <w:tab/>
              <w:t>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наследия.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2.</w:t>
              <w:tab/>
              <w:t>Проведение культурно-просветительской и образовательной деятельности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Сроки и этапы реализации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2023 - 2025 годы</w:t>
            </w:r>
          </w:p>
        </w:tc>
      </w:tr>
      <w:tr>
        <w:trPr/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30 436,94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35 153,79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36 003,69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101 594,42</w:t>
            </w:r>
          </w:p>
        </w:tc>
      </w:tr>
      <w:tr>
        <w:trPr/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30 436,94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35 153,79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36 003,69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101 594,42</w:t>
            </w:r>
          </w:p>
        </w:tc>
      </w:tr>
      <w:tr>
        <w:trPr>
          <w:trHeight w:val="1447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пополнение фондов, поддержка художников города, популяризация музейного дела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приобщение граждан к культурным ценностям, удовлетворение потребности населения в музейных услугах (процент);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увеличение количество выставок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увеличение количество посещений музеев (человек)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ind w:firstLine="567" w:left="709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Normal"/>
        <w:ind w:firstLine="709"/>
        <w:jc w:val="both"/>
        <w:rPr/>
      </w:pPr>
      <w:hyperlink w:anchor="P465" w:tgtFrame="#P465">
        <w:r>
          <w:rPr>
            <w:rStyle w:val="ListLabel10"/>
            <w:rFonts w:cs="Times New Roman" w:ascii="Times New Roman" w:hAnsi="Times New Roman"/>
            <w:color w:val="000000"/>
            <w:szCs w:val="22"/>
          </w:rPr>
          <w:t>Подпрограмма</w:t>
        </w:r>
      </w:hyperlink>
      <w:r>
        <w:rPr>
          <w:rFonts w:cs="Times New Roman" w:ascii="Times New Roman" w:hAnsi="Times New Roman"/>
          <w:color w:val="000000"/>
          <w:szCs w:val="22"/>
        </w:rPr>
        <w:t xml:space="preserve"> «Развитие музейного дела на 2023 - 2025 годы»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                                                   и образовательной деятельности.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 xml:space="preserve">Неблагоприятную ситуацию для развития культуры и искусства обуславливают                                и устойчивый дефицит бюджета, и тенденция к снижению реальных доходов населения.                           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</w:t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Реализация данной подпрограммы позволит преодолеть существующие трудности                           в деятельности учреждений,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деятельности.</w:t>
      </w:r>
    </w:p>
    <w:p>
      <w:pPr>
        <w:pStyle w:val="ConsPlusTitle"/>
        <w:numPr>
          <w:ilvl w:val="0"/>
          <w:numId w:val="0"/>
        </w:numPr>
        <w:ind w:hanging="0" w:left="0" w:right="-172"/>
        <w:jc w:val="center"/>
        <w:outlineLvl w:val="3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Цели, задачи, индикаторы оценки результатов, мероприятия и финансирование подпрограммы «Развитие музейного дела на 2023 - 2025 годы»</w:t>
      </w:r>
    </w:p>
    <w:p>
      <w:pPr>
        <w:pStyle w:val="ConsPlusTitle"/>
        <w:numPr>
          <w:ilvl w:val="0"/>
          <w:numId w:val="0"/>
        </w:numPr>
        <w:ind w:hanging="0" w:left="0" w:right="-172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 w:right="-172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16023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399"/>
        <w:gridCol w:w="1714"/>
        <w:gridCol w:w="1125"/>
        <w:gridCol w:w="1410"/>
        <w:gridCol w:w="857"/>
        <w:gridCol w:w="992"/>
        <w:gridCol w:w="1277"/>
        <w:gridCol w:w="13"/>
        <w:gridCol w:w="1133"/>
        <w:gridCol w:w="1134"/>
        <w:gridCol w:w="1136"/>
        <w:gridCol w:w="2408"/>
      </w:tblGrid>
      <w:tr>
        <w:trPr>
          <w:trHeight w:val="20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Наименование основных мероприятий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Исполнители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Сроки выполне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ния основных мероприя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Значения индикаторов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(тыс. рублей)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11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Муниципальный бюджет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</w:p>
        </w:tc>
      </w:tr>
      <w:tr>
        <w:trPr>
          <w:trHeight w:val="175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МБУ «Набережночел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нинская картинная галерея», МАУК «Историко-краеведческий музей»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2023 - 2025 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Пополнение фондов, поддержка художников города, популяризация музейного дела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 2. Проведение культурно-просветительской и образовательной деятельности</w:t>
            </w:r>
          </w:p>
        </w:tc>
      </w:tr>
      <w:tr>
        <w:trPr>
          <w:trHeight w:val="2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 «Набережночел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нинская картинная галерея», МАУК «Историко-краеведческий музей»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2023 - 2025 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Приобщение граждан к культурным ценностям, удовлетворение потребности населения в музейных услугах</w:t>
            </w:r>
          </w:p>
        </w:tc>
      </w:tr>
      <w:tr>
        <w:trPr>
          <w:trHeight w:val="697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Активизация выставочной деятельности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выставок, ед.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9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Оказание услуг (выполнение работ) в области музейного дела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посещений музеев, чел.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118 000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119 000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FFFFFF" w:val="clear"/>
              </w:rPr>
              <w:t>30 386,94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35 103,79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35 953,69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  <w:bookmarkStart w:id="2" w:name="P593"/>
      <w:bookmarkStart w:id="3" w:name="P593"/>
      <w:bookmarkEnd w:id="3"/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360" w:charSpace="0"/>
        </w:sect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Подпрограмма «Развитие муниципальных театрально-зрелищных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учреждений на 2023 - 2025 годы»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90"/>
        <w:gridCol w:w="2266"/>
        <w:gridCol w:w="1277"/>
        <w:gridCol w:w="1276"/>
        <w:gridCol w:w="1421"/>
        <w:gridCol w:w="1629"/>
      </w:tblGrid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Наименование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Развитие муниципальных театрально-зрелищных учреждений на 2023 - 2025 годы (далее - подпрограмма)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татья 16 Федерального закона  от 06.10.2003 № 131-ФЗ «Об общих принципах организации местного самоуправления в Российской Федерации»,</w: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</w:t>
            </w:r>
            <w:hyperlink r:id="rId22" w:tgtFrame="consultantplus://offline/ref=7978E8D406221BDD878B1CAB6D9EE1A2C8941C74B843BA2C2BFC34B4B3BEDDCF95A1792A3EB14AAB9B531CDDE88A7AC4664Ap6G">
              <w:r>
                <w:rPr>
                  <w:rStyle w:val="ListLabel10"/>
                  <w:rFonts w:cs="Times New Roman" w:ascii="Times New Roman" w:hAnsi="Times New Roman"/>
                  <w:color w:val="000000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Основные разработчики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Исполнители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Задача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Сроки и этапы реализации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2023 - 2025 годы</w:t>
            </w:r>
          </w:p>
        </w:tc>
      </w:tr>
      <w:tr>
        <w:trPr/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138 068,94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150 339,32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196 623,21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485 031,47</w:t>
            </w:r>
          </w:p>
        </w:tc>
      </w:tr>
      <w:tr>
        <w:trPr/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138 068,94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150 339,32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196 623,21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485 031,47</w:t>
            </w:r>
          </w:p>
        </w:tc>
      </w:tr>
      <w:tr>
        <w:trPr>
          <w:trHeight w:val="1589" w:hRule="atLeast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 (час/в год);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развитие творческой деятельности коллектива, удовлетворение культурных потребностей населения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удовлетворение культурных и духовных потребностей жителей города (человек)</w:t>
            </w:r>
          </w:p>
        </w:tc>
      </w:tr>
      <w:tr>
        <w:trPr/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Содержание проблемы, на решение которой направлена подпрограмма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Normal"/>
        <w:ind w:firstLine="540"/>
        <w:jc w:val="both"/>
        <w:rPr/>
      </w:pPr>
      <w:hyperlink w:anchor="P593" w:tgtFrame="#P593">
        <w:r>
          <w:rPr>
            <w:rStyle w:val="ListLabel10"/>
            <w:rFonts w:cs="Times New Roman" w:ascii="Times New Roman" w:hAnsi="Times New Roman"/>
            <w:color w:val="000000"/>
            <w:szCs w:val="22"/>
          </w:rPr>
          <w:t>Подпрограмма</w:t>
        </w:r>
      </w:hyperlink>
      <w:r>
        <w:rPr>
          <w:rFonts w:cs="Times New Roman" w:ascii="Times New Roman" w:hAnsi="Times New Roman"/>
          <w:color w:val="000000"/>
          <w:szCs w:val="22"/>
        </w:rPr>
        <w:t xml:space="preserve"> «Развитие муниципальных театрально-зрелищных учреждений                            на 2023 - 2025 годы» направлена на сохранение и развитие профессионального искусства, создание условий для профессионального роста и развития творческих коллективов.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грантовой поддержки.</w:t>
      </w:r>
    </w:p>
    <w:p>
      <w:pPr>
        <w:pStyle w:val="NoSpacing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С другой стороны, для них характерны все те же проблемы, что и для всей культуры                         в целом:</w:t>
      </w:r>
    </w:p>
    <w:p>
      <w:pPr>
        <w:pStyle w:val="NoSpacing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>
      <w:pPr>
        <w:pStyle w:val="NoSpacing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2) кадровые проблемы;</w:t>
      </w:r>
    </w:p>
    <w:p>
      <w:pPr>
        <w:pStyle w:val="NoSpacing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3) отсутствие системы организации гастролей профессиональных коллективов.</w:t>
      </w:r>
    </w:p>
    <w:p>
      <w:pPr>
        <w:sectPr>
          <w:headerReference w:type="default" r:id="rId23"/>
          <w:headerReference w:type="first" r:id="rId24"/>
          <w:footerReference w:type="default" r:id="rId25"/>
          <w:footerReference w:type="first" r:id="rId26"/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Реализация данной подпрограммы позволит преодолеть существующие трудности                            в деятельности учреждений, развитие творческой деятельности коллективов, удовлетворение духовных и культурных потребностей всех возрастных категорий населения, популяризация музыкального, хореографического искусства.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Цели, задачи, индикаторы оценки результатов, мероприятия и финансирование подпрограммы «Развитие муниципальных </w:t>
      </w:r>
    </w:p>
    <w:p>
      <w:pPr>
        <w:pStyle w:val="ConsPlusTitle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театрально-зрелищных учреждений на 2023 - 2025 годы»</w:t>
      </w:r>
    </w:p>
    <w:p>
      <w:pPr>
        <w:pStyle w:val="ConsPlusTitle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tbl>
      <w:tblPr>
        <w:tblW w:w="16022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10"/>
        <w:gridCol w:w="1700"/>
        <w:gridCol w:w="1134"/>
        <w:gridCol w:w="1418"/>
        <w:gridCol w:w="998"/>
        <w:gridCol w:w="992"/>
        <w:gridCol w:w="1128"/>
        <w:gridCol w:w="1139"/>
        <w:gridCol w:w="1134"/>
        <w:gridCol w:w="1276"/>
        <w:gridCol w:w="2268"/>
      </w:tblGrid>
      <w:tr>
        <w:trPr>
          <w:trHeight w:val="20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Сроки выполне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ния основных мероприя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Значения индикаторов</w:t>
            </w: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(тыс.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11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Показ концертов и концертных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7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«Театр танца «Булгары»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– 2025 годы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выступлений, час/в год.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7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7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«Камерный оркестр Игоря Лермана»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200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Показ спектаклей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«РДТ «Мастеровые»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спектаклей, ед.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227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Развитие творческой деятельности коллектива, удовлетворение культурных потребностей населения</w:t>
            </w:r>
          </w:p>
        </w:tc>
      </w:tr>
      <w:tr>
        <w:trPr>
          <w:trHeight w:val="624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Оказание услуг (выполнение работ) в области исполнительского искусства, театрального 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7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</w:t>
            </w:r>
          </w:p>
          <w:p>
            <w:pPr>
              <w:pStyle w:val="ConsPlusNormal"/>
              <w:ind w:right="-67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«Театр танца «Булгары»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зрителей, посетивших концерты, спектакли, чел.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18 000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18 000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18 000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138 068,94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150 339,32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196 623,21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Удовлетворение культурных и духовных потребностей жителей города</w:t>
            </w:r>
          </w:p>
        </w:tc>
      </w:tr>
      <w:tr>
        <w:trPr>
          <w:trHeight w:val="622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7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25 612</w:t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7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«Камерный оркестр Игоря Лермана»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25 612</w:t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7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«РДТ «Мастеровые»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60 474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60 474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60 474</w:t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</w:tbl>
    <w:p>
      <w:pPr>
        <w:sectPr>
          <w:headerReference w:type="default" r:id="rId27"/>
          <w:headerReference w:type="first" r:id="rId28"/>
          <w:footerReference w:type="default" r:id="rId29"/>
          <w:footerReference w:type="first" r:id="rId30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Подпрограмма «Развитие муниципальных концертных учреждений на 2023 - 2025 годы»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5"/>
        <w:gridCol w:w="1983"/>
        <w:gridCol w:w="1462"/>
        <w:gridCol w:w="1419"/>
        <w:gridCol w:w="1421"/>
        <w:gridCol w:w="1629"/>
      </w:tblGrid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Наименование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Развитие муниципальных концертных учреждений на 2023 - 2025 годы (далее - подпрограмма)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татья 16 Федерального закона  от 06.10.2003 № 131-ФЗ «Об общих принципах организации местного самоуправления в Российской Федерации», </w:t>
            </w:r>
            <w:hyperlink r:id="rId31" w:tgtFrame="consultantplus://offline/ref=7978E8D406221BDD878B1CAB6D9EE1A2C8941C74B843BA2C2BFC34B4B3BEDDCF95A1792A3EB14AAB9B531CDDE88A7AC4664Ap6G">
              <w:r>
                <w:rPr>
                  <w:rStyle w:val="ListLabel10"/>
                  <w:rFonts w:cs="Times New Roman" w:ascii="Times New Roman" w:hAnsi="Times New Roman"/>
                  <w:color w:val="000000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Основные разработчики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Исполнители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Задача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Сохранение и развитие национальных, российских, мировых музыкальных, цирковых традиций, развитие современного искусства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Сроки и этапы реализации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2023 - 2025 годы</w:t>
            </w:r>
          </w:p>
        </w:tc>
      </w:tr>
      <w:tr>
        <w:trPr/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129 822,51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112 548,88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122 763,14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365 134,53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129 822,51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112 548,88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122 763,14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365 134,53</w:t>
            </w:r>
          </w:p>
        </w:tc>
      </w:tr>
      <w:tr>
        <w:trPr>
          <w:trHeight w:val="1589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Развитие творческой деятельности коллективов, удовлетворение культурных потребностей всех возрастных групп населения (единиц; человек)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Normal"/>
        <w:ind w:firstLine="540"/>
        <w:jc w:val="both"/>
        <w:rPr/>
      </w:pPr>
      <w:hyperlink w:anchor="P701" w:tgtFrame="#P701">
        <w:r>
          <w:rPr>
            <w:rStyle w:val="ListLabel10"/>
            <w:rFonts w:cs="Times New Roman" w:ascii="Times New Roman" w:hAnsi="Times New Roman"/>
            <w:color w:val="000000"/>
            <w:szCs w:val="22"/>
          </w:rPr>
          <w:t>Подпрограмма</w:t>
        </w:r>
      </w:hyperlink>
      <w:r>
        <w:rPr>
          <w:rFonts w:cs="Times New Roman" w:ascii="Times New Roman" w:hAnsi="Times New Roman"/>
          <w:color w:val="000000"/>
          <w:szCs w:val="22"/>
        </w:rPr>
        <w:t xml:space="preserve"> «Развитие муниципальных концертных учреждений на 2023 - 2025 годы» направлена на сохранение и развитие национальных, российских, мировых музыкальных, цирковых традиций, развитие современного искусства.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</w:t>
      </w:r>
    </w:p>
    <w:p>
      <w:pPr>
        <w:pStyle w:val="NoSpacing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Кадровая проблема остается одной из ключевых, так как экономический потенциал отрасли культуры в первую очередь определяют трудовые ресурсы. Культурно-досуговые учреждения нуждаются в укреплении кадровой базы. Из-за низкой заработной платы молодые специалисты не всегда идут с желанием в учреждения. Сохранение и пополнение кадрового потенциала с каждым годом становится все сложнее.</w:t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Реализация данной подпрограммы позволит преодолеть существующие трудности                               в деятельности учреждений сферы культуры, обеспечить увеличение показа концертов и иных программ, сценических выступлений, создание и показ цирковых представлений, номеров, оказание услуг по созданию, организации и показу концертных, цирковых и иных программ, сценических выступлений. 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Цели, задачи, индикаторы оценки результатов, мероприятия и финансирование подпрограммы «Развитие муниципальных</w:t>
      </w:r>
    </w:p>
    <w:p>
      <w:pPr>
        <w:pStyle w:val="ConsPlusTitle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концертных учреждений на 2023- 2025 годы» </w:t>
      </w:r>
    </w:p>
    <w:p>
      <w:pPr>
        <w:pStyle w:val="ConsPlusTitle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tbl>
      <w:tblPr>
        <w:tblW w:w="15876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5"/>
        <w:gridCol w:w="2410"/>
        <w:gridCol w:w="1700"/>
        <w:gridCol w:w="1134"/>
        <w:gridCol w:w="1419"/>
        <w:gridCol w:w="991"/>
        <w:gridCol w:w="992"/>
        <w:gridCol w:w="1135"/>
        <w:gridCol w:w="1134"/>
        <w:gridCol w:w="1133"/>
        <w:gridCol w:w="1134"/>
        <w:gridCol w:w="2268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Сроки выполне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ния основных мероприя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тий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Значения индикаторов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(тыс.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Ожидаемый результат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11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Задача. Сохранение и развитие национальных, российских, мировых музыкальных, цирковых традиций, развитие современного искусства</w:t>
            </w:r>
          </w:p>
        </w:tc>
      </w:tr>
      <w:tr>
        <w:trPr>
          <w:trHeight w:val="162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Показ концертов и иных программ, сценических выступлений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«Органный зал»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2023 - 2025 годы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концертов и иных программ,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>
        <w:trPr>
          <w:trHeight w:val="162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концертов и иных программ,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116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Создание и показ цирковых представлений, номеров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МБУК «Набережночел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нинская филармония»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56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представлений,  номеров,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Оказание услуг по созданию, организации и показу концертных, цирковых и иных программ, сценических выступлений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«Органный зал»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зрителей, посетивших концертные и иные программы, 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43 000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43 000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43 000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129 822,51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112 548,88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122 763,14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106 000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106 000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106 000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МБУК «Набережночел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нинская филармония»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11 000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  <w:bookmarkStart w:id="4" w:name="P807"/>
            <w:bookmarkStart w:id="5" w:name="P807"/>
            <w:bookmarkEnd w:id="5"/>
          </w:p>
        </w:tc>
      </w:tr>
    </w:tbl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type w:val="nextPage"/>
          <w:pgSz w:orient="landscape" w:w="16838" w:h="11906"/>
          <w:pgMar w:left="1134" w:right="1134" w:gutter="0" w:header="0" w:top="851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bookmarkStart w:id="6" w:name="P807_Копия_1"/>
      <w:bookmarkEnd w:id="6"/>
      <w:r>
        <w:rPr>
          <w:rFonts w:cs="Times New Roman" w:ascii="Times New Roman" w:hAnsi="Times New Roman"/>
          <w:b w:val="false"/>
          <w:color w:val="000000"/>
          <w:szCs w:val="22"/>
        </w:rPr>
        <w:t>Подпрограмма «Развитие культурно-досуговых учреждений на 2023 - 2025 годы»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5"/>
        <w:gridCol w:w="1983"/>
        <w:gridCol w:w="1304"/>
        <w:gridCol w:w="1362"/>
        <w:gridCol w:w="1419"/>
        <w:gridCol w:w="1846"/>
      </w:tblGrid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Наименование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Развитие культурно-досуговых учреждений на 2023 - 2025 годы (далее - подпрограмма)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татья 16 Федерального закона  от 06.10.2003 № 131-ФЗ «Об общих принципах организации местного самоуправления в Российской Федерации», </w:t>
            </w:r>
            <w:hyperlink r:id="rId40" w:tgtFrame="consultantplus://offline/ref=7978E8D406221BDD878B1CAB6D9EE1A2C8941C74B843BA2C2BFC34B4B3BEDDCF95A1792A3EB14AAB9B531CDDE88A7AC4664Ap6G">
              <w:r>
                <w:rPr>
                  <w:rStyle w:val="ListLabel10"/>
                  <w:rFonts w:cs="Times New Roman" w:ascii="Times New Roman" w:hAnsi="Times New Roman"/>
                  <w:color w:val="000000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>
          <w:trHeight w:val="1098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Основные разработчики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918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Исполнители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218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Задача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>
        <w:trPr>
          <w:trHeight w:val="990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Сроки и этапы реализации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2023 - 2025 годы</w:t>
            </w:r>
          </w:p>
        </w:tc>
      </w:tr>
      <w:tr>
        <w:trPr/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год (тыс. рублей)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168 049,87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199 951,05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197 228,98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565 229,90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168 049,87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199 951,05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197 228,98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565 229,90</w:t>
            </w:r>
          </w:p>
        </w:tc>
      </w:tr>
      <w:tr>
        <w:trPr>
          <w:trHeight w:val="1589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 (единиц, человек);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создание условий для участия в добровольческих (волонтерских) движениях (человек)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Normal"/>
        <w:ind w:firstLine="540"/>
        <w:jc w:val="both"/>
        <w:rPr/>
      </w:pPr>
      <w:hyperlink w:anchor="P807" w:tgtFrame="#P807">
        <w:r>
          <w:rPr>
            <w:rStyle w:val="ListLabel10"/>
            <w:rFonts w:cs="Times New Roman" w:ascii="Times New Roman" w:hAnsi="Times New Roman"/>
            <w:color w:val="000000"/>
            <w:szCs w:val="22"/>
          </w:rPr>
          <w:t>Подпрограмма</w:t>
        </w:r>
      </w:hyperlink>
      <w:r>
        <w:rPr>
          <w:rFonts w:cs="Times New Roman" w:ascii="Times New Roman" w:hAnsi="Times New Roman"/>
          <w:color w:val="000000"/>
          <w:szCs w:val="22"/>
        </w:rPr>
        <w:t xml:space="preserve"> «Развитие культурно-досуговых учреждений на 2023 - 2025 годы»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 его в процесс социально-культурного творчества, художественного                                     и эстетического воспитания, выявление инновационных форм работы с детьми и молодежью.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 xml:space="preserve">Снижается популярность и значимость досуговых учреждений культуры. Серьезное положение сложилось в дальнейшей эксплуатации учреждений. Многим из них требуется капитальный ремонт: МАУК «ДК «КАМАЗ», МАУК «Концертный зал имени Сары Садыковой». Между тем, остро стоит вопрос строительства зданий культурных учреждений в новых микрорайонах города. 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Культурно-досуговые учреждения нуждаются в укреплении кадровой базы. 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Реализация данной подпрограммы позволит преодолеть существующие трудности                              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Подпрограмма предусматривает объединение интеллектуальных, творческих, организационных и финансовых возможностей.</w:t>
      </w:r>
    </w:p>
    <w:p>
      <w:pPr>
        <w:sectPr>
          <w:headerReference w:type="default" r:id="rId41"/>
          <w:headerReference w:type="first" r:id="rId42"/>
          <w:footerReference w:type="default" r:id="rId43"/>
          <w:footerReference w:type="first" r:id="rId44"/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 xml:space="preserve">В подпрограмме используется система индикаторов и цифровых показателей, характеризующих текущие результаты культурной деятельности.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Цели, задачи, индикаторы оценки результатов, мероприятия и финансирование подпрограммы «Развитие культурно-досуговых </w:t>
      </w:r>
    </w:p>
    <w:p>
      <w:pPr>
        <w:pStyle w:val="ConsPlusTitle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учреждений на 2023 - 2025 годы»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16021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05"/>
        <w:gridCol w:w="1695"/>
        <w:gridCol w:w="1136"/>
        <w:gridCol w:w="1419"/>
        <w:gridCol w:w="1003"/>
        <w:gridCol w:w="992"/>
        <w:gridCol w:w="1124"/>
        <w:gridCol w:w="1133"/>
        <w:gridCol w:w="1142"/>
        <w:gridCol w:w="1138"/>
        <w:gridCol w:w="2409"/>
      </w:tblGrid>
      <w:tr>
        <w:trPr/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Наименование основных мероприятий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Исполнители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Сроки выполне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ния основных мероприя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тий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Значения индикаторов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Ожидаемый результат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11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9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Муниципальный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Обеспечение работы клубных формирований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Число клубных формирований, ед.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«ДДН «Родник»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«ГКЦ «Эврика»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МБУК «Центр культуры «Кызыл тау»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«ДК «КАМАЗ»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посетителей мероприятий, чел.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307 050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168 049,87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199 951,05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197 228,98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«ДДН «Родник»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111 600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111 600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«ГКЦ «Эврика»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60 000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60 000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МБУК «Центр культуры «Кызыл тау»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55 000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55 000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«ДК «КАМАЗ»</w:t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307 050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Создание базы волонтеров, привлечение их к подготовке культурно-массовых мероприятий, проведению акций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МАУК «ДК «КАМАЗ»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участников добровольчес</w:t>
            </w:r>
          </w:p>
          <w:p>
            <w:pPr>
              <w:pStyle w:val="ConsPlusNormal"/>
              <w:ind w:right="-7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ких (волонтерских) движений, чел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Создание условий для участия в добровольческих (волонтерских) движениях</w:t>
            </w:r>
          </w:p>
        </w:tc>
      </w:tr>
    </w:tbl>
    <w:p>
      <w:pPr>
        <w:pStyle w:val="NoSpacing"/>
        <w:ind w:right="-59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  <w:bookmarkStart w:id="7" w:name="P935"/>
      <w:bookmarkStart w:id="8" w:name="P935"/>
      <w:bookmarkEnd w:id="8"/>
    </w:p>
    <w:p>
      <w:pPr>
        <w:pStyle w:val="NoSpacing"/>
        <w:ind w:right="-598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Spacing"/>
        <w:ind w:right="-598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Spacing"/>
        <w:ind w:right="-598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Spacing"/>
        <w:ind w:right="-598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sectPr>
          <w:headerReference w:type="default" r:id="rId45"/>
          <w:headerReference w:type="first" r:id="rId46"/>
          <w:footerReference w:type="default" r:id="rId47"/>
          <w:footerReference w:type="first" r:id="rId48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360" w:charSpace="0"/>
        </w:sectPr>
        <w:pStyle w:val="NoSpacing"/>
        <w:ind w:right="-598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Spacing"/>
        <w:ind w:right="-598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Подпрограмма «Развитие кадрового потенциала отрасли, создание стимулирующих условий </w:t>
      </w:r>
    </w:p>
    <w:p>
      <w:pPr>
        <w:pStyle w:val="NoSpacing"/>
        <w:ind w:right="-598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>для работы и творческой деятельности в отрасли»</w:t>
      </w:r>
    </w:p>
    <w:p>
      <w:pPr>
        <w:pStyle w:val="NoSpacing"/>
        <w:ind w:right="-598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5"/>
        <w:gridCol w:w="1983"/>
        <w:gridCol w:w="1304"/>
        <w:gridCol w:w="1362"/>
        <w:gridCol w:w="1419"/>
        <w:gridCol w:w="1846"/>
      </w:tblGrid>
      <w:tr>
        <w:trPr>
          <w:trHeight w:val="897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Наименование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Развитие кадрового потенциала отрасли, создание стимулирующих условий для работы и творческой деятельности в отрасли (далее - подпрограмма)</w:t>
            </w:r>
          </w:p>
        </w:tc>
      </w:tr>
      <w:tr>
        <w:trPr>
          <w:trHeight w:val="2154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татья 16 Федерального закона  от 06.10.2003 № 131-ФЗ «Об общих принципах организации местного самоуправления в Российской Федерации»,</w: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</w:t>
            </w:r>
            <w:hyperlink r:id="rId49" w:tgtFrame="consultantplus://offline/ref=7978E8D406221BDD878B1CAB6D9EE1A2C8941C74B843BA2C2BFC34B4B3BEDDCF95A1792A3EB14AAB9B531CDDE88A7AC4664Ap6G">
              <w:r>
                <w:rPr>
                  <w:rStyle w:val="ListLabel10"/>
                  <w:rFonts w:cs="Times New Roman" w:ascii="Times New Roman" w:hAnsi="Times New Roman"/>
                  <w:color w:val="000000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Основные разработчики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Исполнители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116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143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Задачи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1. Кадровое обеспечение отрасли квалифицированным персоналом.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Сроки и этапы реализации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2023 - 2025 годы</w:t>
            </w:r>
          </w:p>
        </w:tc>
      </w:tr>
      <w:tr>
        <w:trPr/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Годы реализации подрограммы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год (тыс. рублей)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1 311,2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1 311,2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1 311,2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3 933,6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1 311,2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1 311,2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1 311,2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3 933,6</w:t>
            </w:r>
          </w:p>
        </w:tc>
      </w:tr>
      <w:tr>
        <w:trPr>
          <w:trHeight w:val="1497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повышение профессионального уровня работников культуры, создание информационного канала между наукой и культурой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развитие кадрового потенциала системы художественного образования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поддержка лучших работников отрасли (человек);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поддержка деятелей литературы и искусства (человек);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поддержка одаренных детей, дальнейшее их стимулирование (человек).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Содержание проблемы, на решение которой направлена подпрограмма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Normal"/>
        <w:ind w:firstLine="540"/>
        <w:jc w:val="both"/>
        <w:rPr/>
      </w:pPr>
      <w:hyperlink w:anchor="P935" w:tgtFrame="#P935">
        <w:r>
          <w:rPr>
            <w:rStyle w:val="ListLabel10"/>
            <w:rFonts w:cs="Times New Roman" w:ascii="Times New Roman" w:hAnsi="Times New Roman"/>
            <w:color w:val="000000"/>
            <w:szCs w:val="22"/>
          </w:rPr>
          <w:t>Подпрограмма</w:t>
        </w:r>
      </w:hyperlink>
      <w:r>
        <w:rPr>
          <w:rFonts w:cs="Times New Roman" w:ascii="Times New Roman" w:hAnsi="Times New Roman"/>
          <w:color w:val="000000"/>
          <w:szCs w:val="22"/>
        </w:rPr>
        <w:t xml:space="preserve"> «Развитие кадрового потенциала отрасли, создание стимулирующих условий для работы и творческой деятельности в отрасли» направлена на кадровое обеспечение отрасли квалифицированным персоналом, создание стимулирующих условий для работы и творческой деятельности в отрасли, поддержку молодых дарований.</w:t>
      </w:r>
    </w:p>
    <w:p>
      <w:pPr>
        <w:pStyle w:val="NoSpacing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Кадровая проблема остается одной из ключевых, так как экономический потенциал отрасли культуры в первую очередь определяют трудовые ресурсы. На сегодняшний день наиболее обеспечены профессиональными кадрами организации дополнительного образования отрасли культура. Культурно-досуговые учреждения (клубы, музеи, библиотеки, театры, хореографические коллективы) нуждаются в укреплении кадровой базы. 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w="11906" w:h="16838"/>
          <w:pgMar w:left="1701" w:right="851" w:gutter="0" w:header="0" w:top="1134" w:footer="0" w:bottom="1134"/>
          <w:pgNumType w:start="2" w:fmt="decimal"/>
          <w:formProt w:val="false"/>
          <w:textDirection w:val="lrTb"/>
          <w:docGrid w:type="default" w:linePitch="360" w:charSpace="0"/>
        </w:sect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Реализация данной подпрограммы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Цели, задачи, индикаторы оценки результатов, мероприятия и финансирование подпрограммы «Развитие кадрового потенциала</w:t>
      </w:r>
    </w:p>
    <w:p>
      <w:pPr>
        <w:pStyle w:val="ConsPlusTitle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отрасли, создание стимулирующих условий для работы и творческой деятельности в отрасли»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16018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01"/>
        <w:gridCol w:w="1711"/>
        <w:gridCol w:w="1132"/>
        <w:gridCol w:w="1419"/>
        <w:gridCol w:w="851"/>
        <w:gridCol w:w="993"/>
        <w:gridCol w:w="1275"/>
        <w:gridCol w:w="993"/>
        <w:gridCol w:w="992"/>
        <w:gridCol w:w="849"/>
        <w:gridCol w:w="2977"/>
      </w:tblGrid>
      <w:tr>
        <w:trPr>
          <w:trHeight w:val="20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Исполнители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Сроки выполне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ния основных мероприя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тий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Значения индикаторов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val="13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Муниципальный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 1. Кадровое обеспечение отрасли квалифицированным персоналом</w:t>
            </w:r>
          </w:p>
        </w:tc>
      </w:tr>
      <w:tr>
        <w:trPr>
          <w:trHeight w:val="489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проведенных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  <w:tr>
        <w:trPr>
          <w:trHeight w:val="46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культуры, муниципальные учреждения культуры и организации дополнительного образования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проведенных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150,0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Развитие кадрового потенциала системы художественного образования</w:t>
            </w:r>
          </w:p>
        </w:tc>
      </w:tr>
      <w:tr>
        <w:trPr>
          <w:trHeight w:val="1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>
        <w:trPr>
          <w:trHeight w:val="31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69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69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Создание стимулирующих условий для лучших специалистов учреждений культуры (Премия Мэра)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получателей премий,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781,2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781,2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781,2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Поддержка лучших работников отрасли</w:t>
            </w:r>
          </w:p>
        </w:tc>
      </w:tr>
      <w:tr>
        <w:trPr>
          <w:trHeight w:val="152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7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Создание стимулирующих 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победителей в номинациях,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230,0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Поддержка деятелей литературы и искусства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Учреждение стипендий Мэра города одаренным детям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Детские школы искусств (ДМШ №1, ДМШ №2, ДМШ №3, ДМШ №4, ДМШ №5, ДМШ №6 им. С.Сайдашева, ДХШ, ДХШ №1, ДШИ, ДШТИ)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получателей стипендий,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120,0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Поддержка одаренных детей, дальнейшее их стимулирование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Выдвижение одаренных детей на гранты и стипендии Министерств культуры Республики Татарстан и Российской Федерации</w:t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  <w:bookmarkStart w:id="9" w:name="P1090"/>
            <w:bookmarkStart w:id="10" w:name="P1090"/>
            <w:bookmarkEnd w:id="10"/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bookmarkStart w:id="11" w:name="P1090_Копия_1_Копия_1"/>
      <w:bookmarkStart w:id="12" w:name="P1090_Копия_1"/>
      <w:bookmarkEnd w:id="11"/>
      <w:bookmarkEnd w:id="12"/>
      <w:r>
        <w:rPr>
          <w:rFonts w:cs="Times New Roman" w:ascii="Times New Roman" w:hAnsi="Times New Roman"/>
          <w:b w:val="false"/>
          <w:color w:val="000000"/>
          <w:szCs w:val="22"/>
        </w:rPr>
        <w:t>Подпрограмма «Сохранение и развитие культур народов, проживающих в городе Набережные Челны на 2023 - 2025 годы»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Паспорт подпрограммы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5"/>
        <w:gridCol w:w="1983"/>
        <w:gridCol w:w="1304"/>
        <w:gridCol w:w="1362"/>
        <w:gridCol w:w="1419"/>
        <w:gridCol w:w="1846"/>
      </w:tblGrid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Наименование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Сохранение и развитие культур народов, проживающих в городе Набережные Челны на 2023 - 2025 годы (далее - подпрограмма)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татья 16 Федерального закона  от 06.10.2003 № 131-ФЗ «Об общих принципах организации местного самоуправления в Российской Федерации»,</w: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</w:t>
            </w:r>
            <w:hyperlink r:id="rId58" w:tgtFrame="consultantplus://offline/ref=7978E8D406221BDD878B1CAB6D9EE1A2C8941C74B843BA2C2BFC34B4B3BEDDCF95A1792A3EB14AAB9B531CDDE88A7AC4664Ap6G">
              <w:r>
                <w:rPr>
                  <w:rStyle w:val="ListLabel10"/>
                  <w:rFonts w:cs="Times New Roman" w:ascii="Times New Roman" w:hAnsi="Times New Roman"/>
                  <w:color w:val="000000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Республики Татарстан от 03.07.1998 № 1705 «О культуре», постановление Исполнительного комитета                     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Основные разработчики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Исполнители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Задача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Сроки и этапы реализации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2023 - 2025 годы</w:t>
            </w:r>
          </w:p>
        </w:tc>
      </w:tr>
      <w:tr>
        <w:trPr/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Объемы 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год (тыс. рублей)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2 268,8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2 454,10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3 466,30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8 189,20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2 268,8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2 454,10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3 466,30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8 189,20</w:t>
            </w:r>
          </w:p>
        </w:tc>
      </w:tr>
      <w:tr>
        <w:trPr>
          <w:trHeight w:val="468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стимулирование жителей города к участию в</w:t>
            </w:r>
            <w:r>
              <w:rPr>
                <w:rFonts w:cs="Times New Roman" w:ascii="Times New Roman" w:hAnsi="Times New Roman"/>
                <w:color w:val="000000"/>
                <w:szCs w:val="22"/>
                <w:shd w:fill="FFFFFF" w:val="clear"/>
              </w:rPr>
              <w:t xml:space="preserve"> фольклорном творчестве,</w: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творчества самодеятельных коллективов, отдельных исполнителей, художников, популяризация их творчества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создание условий для развития коллективов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сохранение историко-культурного наследия города, популяризация творчества челнинских писателей (единиц);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популяризация художественных произведений (единиц).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/>
      </w:pPr>
      <w:hyperlink w:anchor="P1090" w:tgtFrame="#P1090">
        <w:r>
          <w:rPr>
            <w:rStyle w:val="ListLabel10"/>
            <w:rFonts w:cs="Times New Roman" w:ascii="Times New Roman" w:hAnsi="Times New Roman"/>
            <w:color w:val="000000"/>
            <w:szCs w:val="22"/>
          </w:rPr>
          <w:t>Подпрограмма</w:t>
        </w:r>
      </w:hyperlink>
      <w:r>
        <w:rPr>
          <w:rFonts w:cs="Times New Roman" w:ascii="Times New Roman" w:hAnsi="Times New Roman"/>
          <w:color w:val="000000"/>
          <w:szCs w:val="22"/>
        </w:rPr>
        <w:t xml:space="preserve"> «Сохранение и развитие культур народов, проживающих в городе Набережные Челны на 2023 - 2025 годы» направлена на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связей.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Реализация данной подпрограммы позволит обеспечить целенаправленную работу по сохранению культурного наследия и развитию культурного потенциала города. Подпрограмма предусматривает объединение интеллектуальных, творческих, организационных и финансовых возможностей.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sectPr>
          <w:headerReference w:type="default" r:id="rId59"/>
          <w:headerReference w:type="first" r:id="rId60"/>
          <w:footerReference w:type="default" r:id="rId61"/>
          <w:footerReference w:type="first" r:id="rId62"/>
          <w:type w:val="nextPage"/>
          <w:pgSz w:w="11906" w:h="16838"/>
          <w:pgMar w:left="1701" w:right="851" w:gutter="0" w:header="0" w:top="1134" w:footer="0" w:bottom="1134"/>
          <w:pgNumType w:start="2" w:fmt="decimal"/>
          <w:formProt w:val="false"/>
          <w:textDirection w:val="lrTb"/>
          <w:docGrid w:type="default" w:linePitch="360" w:charSpace="0"/>
        </w:sect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Цели, задачи, индикаторы оценки результатов, мероприятия и финансирование подпрограммы «Сохранение и развитие культур</w:t>
      </w:r>
    </w:p>
    <w:p>
      <w:pPr>
        <w:pStyle w:val="ConsPlusTitle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народов, проживающих в городе Набережные Челны на 2023 - 2025 годы»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16018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4"/>
        <w:gridCol w:w="2412"/>
        <w:gridCol w:w="1700"/>
        <w:gridCol w:w="1134"/>
        <w:gridCol w:w="1417"/>
        <w:gridCol w:w="897"/>
        <w:gridCol w:w="899"/>
        <w:gridCol w:w="897"/>
        <w:gridCol w:w="993"/>
        <w:gridCol w:w="1275"/>
        <w:gridCol w:w="1277"/>
        <w:gridCol w:w="14"/>
        <w:gridCol w:w="2678"/>
      </w:tblGrid>
      <w:tr>
        <w:trPr>
          <w:trHeight w:val="89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65" w:right="-63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62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Значение индикаторов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(тыс. рублей)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20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val="641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both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Задача. 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</w:p>
        </w:tc>
      </w:tr>
      <w:tr>
        <w:trPr>
          <w:trHeight w:val="2287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9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9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Организация и проведение городских конкурсов, фестивалей, выставок, календарных праздников; участие в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 всероссийских и республиканских конкурсах, фестивалях и выставках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культуры, муниципальные учреждения культуры, 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проведенных праздников, дней национальных культур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1 348,8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1 534,10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1 846,0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Стимулирование жителей города к участию</w:t>
            </w:r>
            <w:r>
              <w:rPr>
                <w:rFonts w:cs="Times New Roman" w:ascii="Times New Roman" w:hAnsi="Times New Roman"/>
                <w:color w:val="000000"/>
                <w:sz w:val="20"/>
                <w:shd w:fill="FFFFFF" w:val="clear"/>
              </w:rPr>
              <w:t xml:space="preserve"> в фольклорном творчестве.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>
        <w:trPr>
          <w:trHeight w:val="135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коллективов 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400,0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Создание условий для развития коллективов</w:t>
            </w:r>
          </w:p>
        </w:tc>
      </w:tr>
      <w:tr>
        <w:trPr>
          <w:trHeight w:val="13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наименований 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410,0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Создание условии для развития коллективов</w:t>
            </w:r>
          </w:p>
        </w:tc>
      </w:tr>
      <w:tr>
        <w:trPr>
          <w:trHeight w:val="1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наименований изданий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Сохранение историко-культурного наследия города, популяризация творчества челнинских писателей</w:t>
            </w:r>
          </w:p>
        </w:tc>
      </w:tr>
      <w:tr>
        <w:trPr>
          <w:trHeight w:val="1322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Популяризация художественных произведений</w:t>
            </w:r>
          </w:p>
        </w:tc>
      </w:tr>
      <w:tr>
        <w:trPr>
          <w:trHeight w:val="1322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Проведение городского, зонального туров и участие в суперфинале ежегодного открытого республиканского телевизионного молодежного фестиваля эстрадного искусства «Созвездие-Йолдызлык»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700,30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Autospacing="1" w:after="0"/>
              <w:ind w:hanging="0" w:left="0" w:right="0"/>
              <w:rPr>
                <w:rFonts w:ascii="Tinos" w:hAnsi="Tinos" w:cs="Tinos"/>
                <w:b w:val="false"/>
                <w:bCs w:val="false"/>
                <w:color w:themeColor="text1" w:val="000000"/>
                <w:sz w:val="20"/>
                <w:szCs w:val="20"/>
              </w:rPr>
            </w:pPr>
            <w:r>
              <w:rPr>
                <w:rFonts w:eastAsia="Tinos" w:cs="Tinos" w:ascii="Tinos" w:hAnsi="Tinos"/>
                <w:b w:val="false"/>
                <w:bCs w:val="false"/>
                <w:color w:themeColor="text1" w:val="000000"/>
                <w:sz w:val="20"/>
                <w:szCs w:val="20"/>
              </w:rPr>
              <w:t>Создание равных возможностей для развития и реализации творческого потенциала детей и молодежи города</w:t>
            </w:r>
          </w:p>
        </w:tc>
      </w:tr>
    </w:tbl>
    <w:p>
      <w:pPr>
        <w:sectPr>
          <w:headerReference w:type="default" r:id="rId63"/>
          <w:headerReference w:type="first" r:id="rId64"/>
          <w:footerReference w:type="default" r:id="rId65"/>
          <w:footerReference w:type="first" r:id="rId66"/>
          <w:type w:val="nextPage"/>
          <w:pgSz w:orient="landscape" w:w="16838" w:h="11906"/>
          <w:pgMar w:left="1134" w:right="1134" w:gutter="0" w:header="0" w:top="851" w:footer="0" w:bottom="851"/>
          <w:pgNumType w:start="2"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color w:val="000000"/>
        </w:rPr>
      </w:pPr>
      <w:bookmarkStart w:id="13" w:name="P1221_Копия_1"/>
      <w:bookmarkEnd w:id="13"/>
      <w:r>
        <w:rPr>
          <w:rFonts w:cs="Times New Roman" w:ascii="Times New Roman" w:hAnsi="Times New Roman"/>
          <w:b w:val="false"/>
          <w:color w:val="000000"/>
          <w:szCs w:val="22"/>
        </w:rPr>
        <w:t xml:space="preserve">Подпрограмма «Сохранение и популяризация объектов культурного наследия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на 2023 - 2025 годы»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 xml:space="preserve">Паспорт подпрограммы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9560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1645"/>
        <w:gridCol w:w="1983"/>
        <w:gridCol w:w="1304"/>
        <w:gridCol w:w="1362"/>
        <w:gridCol w:w="1419"/>
        <w:gridCol w:w="1846"/>
      </w:tblGrid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Наименование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Сохранение и популяризация объектов культурного наследия на 2023 - 2025 годы (далее - подпрограмма)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Федеральный закон от 25.06.2002 </w:t>
            </w:r>
            <w:hyperlink r:id="rId67" w:tgtFrame="consultantplus://offline/ref=7978E8D406221BDD878B02A67BF2BCA9C89E4671BB41B27B7FAA32E3ECEEDB9AC7E127736EFD01A6984500DDEB49pDG">
              <w:r>
                <w:rPr>
                  <w:rStyle w:val="ListLabel10"/>
                  <w:rFonts w:cs="Times New Roman" w:ascii="Times New Roman" w:hAnsi="Times New Roman"/>
                  <w:color w:val="000000"/>
                  <w:szCs w:val="22"/>
                </w:rPr>
                <w:t>№ 73-ФЗ</w:t>
              </w:r>
            </w:hyperlink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«Об объектах культурного наследия (памятниках истории и культуры) народов Российской Федерации»,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статья 16 Федерального закона  от 06.10.2003 № 131-ФЗ «Об общих принципах организации местного самоуправления в Российской Федерации»,</w: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</w:t>
            </w:r>
            <w:hyperlink r:id="rId68" w:tgtFrame="consultantplus://offline/ref=7978E8D406221BDD878B1CAB6D9EE1A2C8941C74B843BA2C2BFC34B4B3BEDDCF95A1792A3EB14AAB9B531CDDE88A7AC4664Ap6G">
              <w:r>
                <w:rPr>
                  <w:rStyle w:val="ListLabel10"/>
                  <w:rFonts w:cs="Times New Roman" w:ascii="Times New Roman" w:hAnsi="Times New Roman"/>
                  <w:color w:val="000000"/>
                  <w:szCs w:val="22"/>
                </w:rPr>
                <w:t>Закон</w:t>
              </w:r>
            </w:hyperlink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Основные разработчики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 Исполнительного комитета (далее - управление культуры)</w:t>
            </w:r>
          </w:p>
        </w:tc>
      </w:tr>
      <w:tr>
        <w:trPr>
          <w:trHeight w:val="13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Исполнители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Управление культуры, муниципальные учреждения культуры</w:t>
            </w:r>
          </w:p>
        </w:tc>
      </w:tr>
      <w:tr>
        <w:trPr>
          <w:trHeight w:val="13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Задача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Популяризация объектов культурного наследия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Сроки и этапы реализации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2023 - 2025 годы</w:t>
            </w:r>
          </w:p>
        </w:tc>
      </w:tr>
      <w:tr>
        <w:trPr/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Объемы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 источники финансирования подпрограммы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разбивкой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Годы реализации подпрограммы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2023 год (тыс. рублей)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2024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2025 год</w:t>
            </w:r>
          </w:p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 за период реализации</w:t>
            </w:r>
          </w:p>
          <w:p>
            <w:pPr>
              <w:pStyle w:val="NoSpacing"/>
              <w:widowControl w:val="false"/>
              <w:ind w:left="-54" w:right="-35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1589" w:hRule="atLeast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- Приобщение граждан к культурным ценностям (единицы)</w:t>
            </w:r>
          </w:p>
        </w:tc>
      </w:tr>
      <w:tr>
        <w:trPr/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Содержание проблемы, на решение которой направлена подпрограмма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Подпрограмма «Сохранение и популяризация объектов культурного наследия                                     на 2023 - 2025 годы» направлена на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                            и Республики Татарстан, популяризацию объектов культурного наследия.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 xml:space="preserve">Неблагоприятную ситуацию для развития культуры и искусства обуславливают                                   и устойчивый дефицит бюджета, и тенденция к снижению реальных доходов населения.                        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</w:t>
      </w:r>
    </w:p>
    <w:p>
      <w:pPr>
        <w:sectPr>
          <w:headerReference w:type="default" r:id="rId69"/>
          <w:headerReference w:type="first" r:id="rId70"/>
          <w:footerReference w:type="default" r:id="rId71"/>
          <w:footerReference w:type="first" r:id="rId72"/>
          <w:type w:val="nextPage"/>
          <w:pgSz w:w="11906" w:h="16838"/>
          <w:pgMar w:left="1701" w:right="851" w:gutter="0" w:header="0" w:top="1134" w:footer="0" w:bottom="1134"/>
          <w:pgNumType w:start="2" w:fmt="decimal"/>
          <w:formProt w:val="false"/>
          <w:textDirection w:val="lrTb"/>
          <w:docGrid w:type="default" w:linePitch="360" w:charSpace="0"/>
        </w:sect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Cs w:val="22"/>
        </w:rPr>
        <w:t>Реализация данной подпрограммы позволит преодолеть существующие трудности                               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3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Цели, задачи, индикаторы оценки результатов, мероприятия и финансирование подпрограммы «Сохранение и популяризация</w:t>
      </w:r>
    </w:p>
    <w:p>
      <w:pPr>
        <w:pStyle w:val="ConsPlusTitle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  <w:t>объектов культурного наследия на 2023 - 2025 годы»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color w:val="000000"/>
          <w:szCs w:val="22"/>
        </w:rPr>
      </w:pPr>
      <w:r>
        <w:rPr>
          <w:rFonts w:cs="Times New Roman" w:ascii="Times New Roman" w:hAnsi="Times New Roman"/>
          <w:b w:val="false"/>
          <w:color w:val="000000"/>
          <w:szCs w:val="22"/>
        </w:rPr>
      </w:r>
    </w:p>
    <w:tbl>
      <w:tblPr>
        <w:tblW w:w="16019" w:type="dxa"/>
        <w:jc w:val="lef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427"/>
        <w:gridCol w:w="2408"/>
        <w:gridCol w:w="1701"/>
        <w:gridCol w:w="1134"/>
        <w:gridCol w:w="1418"/>
        <w:gridCol w:w="897"/>
        <w:gridCol w:w="900"/>
        <w:gridCol w:w="896"/>
        <w:gridCol w:w="1182"/>
        <w:gridCol w:w="1182"/>
        <w:gridCol w:w="1181"/>
        <w:gridCol w:w="14"/>
        <w:gridCol w:w="2678"/>
      </w:tblGrid>
      <w:tr>
        <w:trPr>
          <w:trHeight w:val="20" w:hRule="atLeast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-57" w:right="-57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Индикаторы оценки конечных результатов,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Значения индикаторов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Финансирование с указанием источника финансирования</w:t>
            </w:r>
          </w:p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(тыс. рублей)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543" w:hRule="atLeast"/>
        </w:trPr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41" w:hRule="atLeast"/>
        </w:trPr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val="13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155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outlineLvl w:val="3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Задача. Популяризация объектов культурного наследия</w:t>
            </w:r>
          </w:p>
        </w:tc>
      </w:tr>
      <w:tr>
        <w:trPr>
          <w:trHeight w:val="208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проведенных мероприятий, выставок, фестивалей, конкурсов, направленных на популяризацию объектов культурного наследия, сохранение памятников истории и культуры, расположенных на территории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МБУ «Набережночел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нинская картинная галерея», МАУК «Историко-краеведческий музей»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Количество мероприятий, выставок,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Приобщение граждан к культурным ценностям</w:t>
            </w:r>
          </w:p>
        </w:tc>
      </w:tr>
    </w:tbl>
    <w:p>
      <w:pPr>
        <w:pStyle w:val="NoSpacing"/>
        <w:rPr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Заместитель Руководителя Аппарата,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начальник управления делопроизводством </w:t>
      </w:r>
    </w:p>
    <w:p>
      <w:pPr>
        <w:sectPr>
          <w:headerReference w:type="default" r:id="rId73"/>
          <w:headerReference w:type="first" r:id="rId74"/>
          <w:footerReference w:type="default" r:id="rId75"/>
          <w:footerReference w:type="first" r:id="rId76"/>
          <w:type w:val="nextPage"/>
          <w:pgSz w:orient="landscape" w:w="16838" w:h="11906"/>
          <w:pgMar w:left="567" w:right="567" w:gutter="0" w:header="709" w:top="1134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Исполнительного комитета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Н.И. Галиева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Реестр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 выдачу постановлений (распоряжений)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«____» __________________2025 г.№_________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(дата и номер постановления и распоряжения)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Исполнительного комитета от 19.10.2022 № 5650 </w:t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«Об утверждении муниципальной программы </w:t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развития культуры в городе Набережные Челны</w:t>
      </w:r>
    </w:p>
    <w:p>
      <w:pPr>
        <w:pStyle w:val="Normal"/>
        <w:spacing w:lineRule="auto" w:line="240" w:before="0" w:after="0"/>
        <w:ind w:right="-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 2023-2025 годы»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(название постановления)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3"/>
        <w:gridCol w:w="4097"/>
        <w:gridCol w:w="1184"/>
        <w:gridCol w:w="1756"/>
        <w:gridCol w:w="2277"/>
      </w:tblGrid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 получающего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Сектор контроля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Дерлюкова Е.В.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Карамиев Р.Р.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Азрапкина Э.Ш.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Харисов В.Х.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Мулюкова С.Р.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Азрапкина Э.Ш., 305691</w:t>
      </w:r>
    </w:p>
    <w:p>
      <w:pPr>
        <w:pStyle w:val="Normal"/>
        <w:spacing w:lineRule="auto" w:line="240" w:before="0" w:after="1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sectPr>
      <w:headerReference w:type="default" r:id="rId77"/>
      <w:headerReference w:type="first" r:id="rId78"/>
      <w:footerReference w:type="default" r:id="rId79"/>
      <w:footerReference w:type="first" r:id="rId80"/>
      <w:type w:val="nextPage"/>
      <w:pgSz w:w="11906" w:h="16838"/>
      <w:pgMar w:left="1134" w:right="567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Normal"/>
      <w:widowControl/>
      <w:spacing w:lineRule="auto" w:line="259" w:before="0" w:after="160"/>
      <w:jc w:val="lef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11" w:customStyle="1">
    <w:name w:val="Тема примечания Знак"/>
    <w:basedOn w:val="Style10"/>
    <w:uiPriority w:val="99"/>
    <w:semiHidden/>
    <w:qFormat/>
    <w:rPr>
      <w:b/>
      <w:bCs/>
      <w:sz w:val="20"/>
      <w:szCs w:val="20"/>
    </w:rPr>
  </w:style>
  <w:style w:type="character" w:styleId="Style12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consultantplus://offline/ref=7978E8D406221BDD878B02A67BF2BCA9C99F4379BA48B27B7FAA32E3ECEEDB9AC7E127736EFD01A6984500DDEB49pDG" TargetMode="External"/><Relationship Id="rId5" Type="http://schemas.openxmlformats.org/officeDocument/2006/relationships/hyperlink" Target="consultantplus://offline/ref=7978E8D406221BDD878B1CAB6D9EE1A2C8941C74B843BA2C2BFC34B4B3BEDDCF95A1792A3EB14AAB9B531CDDE88A7AC4664Ap6G" TargetMode="Externa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1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yperlink" Target="consultantplus://offline/ref=7978E8D406221BDD878B1CAB6D9EE1A2C8941C74B843BA2C2BFC34B4B3BEDDCF95A1792A3EB14AAB9B531CDDE88A7AC4664Ap6G" TargetMode="Externa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yperlink" Target="consultantplus://offline/ref=7978E8D406221BDD878B1CAB6D9EE1A2C8941C74B843BA2C2BFC34B4B3BEDDCF95A1792A3EB14AAB9B531CDDE88A7AC4664Ap6G" TargetMode="External"/><Relationship Id="rId23" Type="http://schemas.openxmlformats.org/officeDocument/2006/relationships/header" Target="header11.xml"/><Relationship Id="rId24" Type="http://schemas.openxmlformats.org/officeDocument/2006/relationships/header" Target="header12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footer" Target="footer10.xml"/><Relationship Id="rId30" Type="http://schemas.openxmlformats.org/officeDocument/2006/relationships/footer" Target="footer11.xml"/><Relationship Id="rId31" Type="http://schemas.openxmlformats.org/officeDocument/2006/relationships/hyperlink" Target="consultantplus://offline/ref=7978E8D406221BDD878B1CAB6D9EE1A2C8941C74B843BA2C2BFC34B4B3BEDDCF95A1792A3EB14AAB9B531CDDE88A7AC4664Ap6G" TargetMode="External"/><Relationship Id="rId32" Type="http://schemas.openxmlformats.org/officeDocument/2006/relationships/header" Target="header15.xml"/><Relationship Id="rId33" Type="http://schemas.openxmlformats.org/officeDocument/2006/relationships/header" Target="header16.xml"/><Relationship Id="rId34" Type="http://schemas.openxmlformats.org/officeDocument/2006/relationships/footer" Target="footer12.xml"/><Relationship Id="rId35" Type="http://schemas.openxmlformats.org/officeDocument/2006/relationships/footer" Target="footer13.xml"/><Relationship Id="rId36" Type="http://schemas.openxmlformats.org/officeDocument/2006/relationships/header" Target="header17.xml"/><Relationship Id="rId37" Type="http://schemas.openxmlformats.org/officeDocument/2006/relationships/header" Target="header18.xml"/><Relationship Id="rId38" Type="http://schemas.openxmlformats.org/officeDocument/2006/relationships/footer" Target="footer14.xml"/><Relationship Id="rId39" Type="http://schemas.openxmlformats.org/officeDocument/2006/relationships/footer" Target="footer15.xml"/><Relationship Id="rId40" Type="http://schemas.openxmlformats.org/officeDocument/2006/relationships/hyperlink" Target="consultantplus://offline/ref=7978E8D406221BDD878B1CAB6D9EE1A2C8941C74B843BA2C2BFC34B4B3BEDDCF95A1792A3EB14AAB9B531CDDE88A7AC4664Ap6G" TargetMode="External"/><Relationship Id="rId41" Type="http://schemas.openxmlformats.org/officeDocument/2006/relationships/header" Target="header19.xml"/><Relationship Id="rId42" Type="http://schemas.openxmlformats.org/officeDocument/2006/relationships/header" Target="header20.xml"/><Relationship Id="rId43" Type="http://schemas.openxmlformats.org/officeDocument/2006/relationships/footer" Target="footer16.xml"/><Relationship Id="rId44" Type="http://schemas.openxmlformats.org/officeDocument/2006/relationships/footer" Target="footer17.xml"/><Relationship Id="rId45" Type="http://schemas.openxmlformats.org/officeDocument/2006/relationships/header" Target="header21.xml"/><Relationship Id="rId46" Type="http://schemas.openxmlformats.org/officeDocument/2006/relationships/header" Target="header22.xml"/><Relationship Id="rId47" Type="http://schemas.openxmlformats.org/officeDocument/2006/relationships/footer" Target="footer18.xml"/><Relationship Id="rId48" Type="http://schemas.openxmlformats.org/officeDocument/2006/relationships/footer" Target="footer19.xml"/><Relationship Id="rId49" Type="http://schemas.openxmlformats.org/officeDocument/2006/relationships/hyperlink" Target="consultantplus://offline/ref=7978E8D406221BDD878B1CAB6D9EE1A2C8941C74B843BA2C2BFC34B4B3BEDDCF95A1792A3EB14AAB9B531CDDE88A7AC4664Ap6G" TargetMode="External"/><Relationship Id="rId50" Type="http://schemas.openxmlformats.org/officeDocument/2006/relationships/header" Target="header23.xml"/><Relationship Id="rId51" Type="http://schemas.openxmlformats.org/officeDocument/2006/relationships/header" Target="header24.xml"/><Relationship Id="rId52" Type="http://schemas.openxmlformats.org/officeDocument/2006/relationships/footer" Target="footer20.xml"/><Relationship Id="rId53" Type="http://schemas.openxmlformats.org/officeDocument/2006/relationships/footer" Target="footer21.xml"/><Relationship Id="rId54" Type="http://schemas.openxmlformats.org/officeDocument/2006/relationships/header" Target="header25.xml"/><Relationship Id="rId55" Type="http://schemas.openxmlformats.org/officeDocument/2006/relationships/header" Target="header26.xml"/><Relationship Id="rId56" Type="http://schemas.openxmlformats.org/officeDocument/2006/relationships/footer" Target="footer22.xml"/><Relationship Id="rId57" Type="http://schemas.openxmlformats.org/officeDocument/2006/relationships/footer" Target="footer23.xml"/><Relationship Id="rId58" Type="http://schemas.openxmlformats.org/officeDocument/2006/relationships/hyperlink" Target="consultantplus://offline/ref=7978E8D406221BDD878B1CAB6D9EE1A2C8941C74B843BA2C2BFC34B4B3BEDDCF95A1792A3EB14AAB9B531CDDE88A7AC4664Ap6G" TargetMode="External"/><Relationship Id="rId59" Type="http://schemas.openxmlformats.org/officeDocument/2006/relationships/header" Target="header27.xml"/><Relationship Id="rId60" Type="http://schemas.openxmlformats.org/officeDocument/2006/relationships/header" Target="header28.xml"/><Relationship Id="rId61" Type="http://schemas.openxmlformats.org/officeDocument/2006/relationships/footer" Target="footer24.xml"/><Relationship Id="rId62" Type="http://schemas.openxmlformats.org/officeDocument/2006/relationships/footer" Target="footer25.xml"/><Relationship Id="rId63" Type="http://schemas.openxmlformats.org/officeDocument/2006/relationships/header" Target="header29.xml"/><Relationship Id="rId64" Type="http://schemas.openxmlformats.org/officeDocument/2006/relationships/header" Target="header30.xml"/><Relationship Id="rId65" Type="http://schemas.openxmlformats.org/officeDocument/2006/relationships/footer" Target="footer26.xml"/><Relationship Id="rId66" Type="http://schemas.openxmlformats.org/officeDocument/2006/relationships/footer" Target="footer27.xml"/><Relationship Id="rId67" Type="http://schemas.openxmlformats.org/officeDocument/2006/relationships/hyperlink" Target="consultantplus://offline/ref=7978E8D406221BDD878B02A67BF2BCA9C89E4671BB41B27B7FAA32E3ECEEDB9AC7E127736EFD01A6984500DDEB49pDG" TargetMode="External"/><Relationship Id="rId68" Type="http://schemas.openxmlformats.org/officeDocument/2006/relationships/hyperlink" Target="consultantplus://offline/ref=7978E8D406221BDD878B1CAB6D9EE1A2C8941C74B843BA2C2BFC34B4B3BEDDCF95A1792A3EB14AAB9B531CDDE88A7AC4664Ap6G" TargetMode="External"/><Relationship Id="rId69" Type="http://schemas.openxmlformats.org/officeDocument/2006/relationships/header" Target="header31.xml"/><Relationship Id="rId70" Type="http://schemas.openxmlformats.org/officeDocument/2006/relationships/header" Target="header32.xml"/><Relationship Id="rId71" Type="http://schemas.openxmlformats.org/officeDocument/2006/relationships/footer" Target="footer28.xml"/><Relationship Id="rId72" Type="http://schemas.openxmlformats.org/officeDocument/2006/relationships/footer" Target="footer29.xml"/><Relationship Id="rId73" Type="http://schemas.openxmlformats.org/officeDocument/2006/relationships/header" Target="header33.xml"/><Relationship Id="rId74" Type="http://schemas.openxmlformats.org/officeDocument/2006/relationships/header" Target="header34.xml"/><Relationship Id="rId75" Type="http://schemas.openxmlformats.org/officeDocument/2006/relationships/footer" Target="footer30.xml"/><Relationship Id="rId76" Type="http://schemas.openxmlformats.org/officeDocument/2006/relationships/footer" Target="footer31.xml"/><Relationship Id="rId77" Type="http://schemas.openxmlformats.org/officeDocument/2006/relationships/header" Target="header35.xml"/><Relationship Id="rId78" Type="http://schemas.openxmlformats.org/officeDocument/2006/relationships/header" Target="header36.xml"/><Relationship Id="rId79" Type="http://schemas.openxmlformats.org/officeDocument/2006/relationships/footer" Target="footer32.xml"/><Relationship Id="rId80" Type="http://schemas.openxmlformats.org/officeDocument/2006/relationships/footer" Target="footer33.xml"/><Relationship Id="rId81" Type="http://schemas.openxmlformats.org/officeDocument/2006/relationships/fontTable" Target="fontTable.xml"/><Relationship Id="rId82" Type="http://schemas.openxmlformats.org/officeDocument/2006/relationships/settings" Target="settings.xml"/><Relationship Id="rId83" Type="http://schemas.openxmlformats.org/officeDocument/2006/relationships/theme" Target="theme/theme1.xml"/><Relationship Id="rId8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6CBE-54F0-4C27-9D1D-F8E62D7E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LibreOffice/7.6.7.2$Linux_X86_64 LibreOffice_project/60$Build-2</Application>
  <AppVersion>15.0000</AppVersion>
  <Pages>35</Pages>
  <Words>6165</Words>
  <Characters>43159</Characters>
  <CharactersWithSpaces>48968</CharactersWithSpaces>
  <Paragraphs>1328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2025-03-13T11:00:00Z</dcterms:created>
  <dc:creator>Ильсия Ильдусовна Загидуллина</dc:creator>
  <dc:description/>
  <dc:language>ru-RU</dc:language>
  <cp:lastModifiedBy/>
  <cp:lastPrinted>2025-07-08T15:47:07Z</cp:lastPrinted>
  <dcterms:modified xsi:type="dcterms:W3CDTF">2025-07-08T16:26:40Z</dcterms:modified>
  <cp:revision>4</cp:revision>
  <dc:subject/>
  <dc:title/>
</cp:coreProperties>
</file>