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 xml:space="preserve">Проект постановления </w:t>
      </w:r>
    </w:p>
    <w:p>
      <w:pPr>
        <w:pStyle w:val="Normal"/>
        <w:shd w:val="clear" w:color="auto" w:fill="FFFFFF"/>
        <w:tabs>
          <w:tab w:val="clear" w:pos="708"/>
          <w:tab w:val="left" w:pos="4095" w:leader="none"/>
        </w:tabs>
        <w:ind w:hanging="0" w:left="0" w:right="-1"/>
        <w:jc w:val="right"/>
        <w:rPr/>
      </w:pPr>
      <w:r>
        <w:rPr>
          <w:spacing w:val="-2"/>
          <w:sz w:val="28"/>
          <w:szCs w:val="28"/>
        </w:rPr>
        <w:t>Исполнительного комитета</w:t>
      </w:r>
    </w:p>
    <w:p>
      <w:pPr>
        <w:pStyle w:val="Normal"/>
        <w:shd w:val="clear" w:color="auto" w:fill="FFFFFF"/>
        <w:ind w:hanging="0" w:left="6521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22.09.2022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4954 «Об утверждении муниципальной программы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hanging="0" w:left="0" w:right="-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</w:t>
      </w:r>
    </w:p>
    <w:p>
      <w:pPr>
        <w:pStyle w:val="Normal"/>
        <w:shd w:val="clear" w:color="auto" w:fill="FFFFFF"/>
        <w:ind w:hanging="0" w:left="10"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firstLine="55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hanging="0" w:left="10"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22.09.2022 № 4954 </w:t>
      </w:r>
      <w:r>
        <w:rPr>
          <w:spacing w:val="-2"/>
          <w:sz w:val="28"/>
          <w:szCs w:val="28"/>
        </w:rPr>
        <w:t>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>»  (в редакции постановлений Исполнительного комитета от 24.03.2023 № 2087, от 07.07.2023 № 5940, от 22.12.2023 № 12418, от 19.03.2024 № 1725, от 19.04.2024 № 2475, от 15.08.2024        № 5327, от 02.12.2024 № 8022, от 19.12.2024 №  8477, от 07.05.2025 № 3321) следующие изменения: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11.01 «Физическая культура», в 2023 году - 180 043,24 тыс. рублей, 2024 году - 184 380,02 тыс. рублей, 2025 году - </w:t>
      </w:r>
      <w:r>
        <w:rPr>
          <w:rFonts w:ascii="Tinos" w:hAnsi="Tinos"/>
          <w:b w:val="false"/>
          <w:bCs w:val="false"/>
          <w:sz w:val="28"/>
          <w:szCs w:val="28"/>
        </w:rPr>
        <w:t xml:space="preserve"> </w:t>
      </w:r>
      <w:r>
        <w:rPr>
          <w:rFonts w:ascii="Tinos" w:hAnsi="Tino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202 066,22 </w:t>
      </w:r>
      <w:r>
        <w:rPr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годы»:</w:t>
      </w:r>
    </w:p>
    <w:p>
      <w:pPr>
        <w:pStyle w:val="Normal"/>
        <w:shd w:val="clear" w:color="auto" w:fill="FFFFFF"/>
        <w:ind w:firstLine="709" w:left="0" w:right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firstLine="708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-1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2023 год</w:t>
            </w:r>
          </w:p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2024 год тыс. рублей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2025 год тыс. рублей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180 043,24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202 066,22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566 489,48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>
          <w:trHeight w:val="312" w:hRule="atLeast"/>
        </w:trPr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 w:left="0" w:right="-1"/>
              <w:jc w:val="left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ascii="Tinos" w:hAnsi="Tinos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180 043,24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right"/>
              <w:rPr>
                <w:rFonts w:ascii="Tinos" w:hAnsi="Tinos" w:eastAsia="Calibri" w:cs="Tahom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202 066,22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Calibri" w:cs="Tahoma" w:ascii="Tinos" w:hAnsi="Tinos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566 489,48»</w:t>
            </w:r>
          </w:p>
        </w:tc>
      </w:tr>
    </w:tbl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5 изложить в следующей редакции: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«Объём финансирования программы на 2023-2025 годы составляет</w:t>
      </w:r>
      <w:r>
        <w:rPr>
          <w:rFonts w:eastAsia="Calibri" w:ascii="Tinos" w:hAnsi="Tinos"/>
          <w:sz w:val="28"/>
          <w:szCs w:val="28"/>
          <w:lang w:eastAsia="en-US"/>
        </w:rPr>
        <w:t xml:space="preserve">                 </w:t>
      </w:r>
      <w:r>
        <w:rPr>
          <w:rFonts w:eastAsia="Calibri" w:cs="Tahoma" w:ascii="Tinos" w:hAnsi="Tinos"/>
          <w:b w:val="false"/>
          <w:bCs w:val="false"/>
          <w:kern w:val="0"/>
          <w:sz w:val="28"/>
          <w:szCs w:val="28"/>
          <w:lang w:val="ru-RU" w:eastAsia="en-US" w:bidi="ar-SA"/>
        </w:rPr>
        <w:t xml:space="preserve">566 489,48 </w:t>
      </w:r>
      <w:r>
        <w:rPr>
          <w:rFonts w:ascii="Tinos" w:hAnsi="Tinos"/>
          <w:sz w:val="28"/>
          <w:szCs w:val="28"/>
        </w:rPr>
        <w:t>тыс. рублей, в том числе по годам реализации программы: 2023 год –      180 043,24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рублей, 2024 год -184 380,02</w:t>
      </w:r>
      <w:r>
        <w:rPr>
          <w:rFonts w:eastAsia="Calibri" w:ascii="Tinos" w:hAnsi="Tinos"/>
          <w:sz w:val="28"/>
          <w:szCs w:val="28"/>
          <w:lang w:eastAsia="en-US"/>
        </w:rPr>
        <w:t xml:space="preserve">  </w:t>
      </w:r>
      <w:r>
        <w:rPr>
          <w:rFonts w:ascii="Tinos" w:hAnsi="Tinos"/>
          <w:sz w:val="28"/>
          <w:szCs w:val="28"/>
        </w:rPr>
        <w:t xml:space="preserve">тыс. рублей, 2025 год - </w:t>
      </w:r>
      <w:r>
        <w:rPr>
          <w:rFonts w:ascii="Tinos" w:hAnsi="Tinos"/>
          <w:b w:val="false"/>
          <w:bCs w:val="false"/>
          <w:sz w:val="28"/>
          <w:szCs w:val="28"/>
        </w:rPr>
        <w:t>202 066,22</w:t>
      </w:r>
      <w:r>
        <w:rPr>
          <w:rFonts w:eastAsia="Calibri" w:ascii="Tinos" w:hAnsi="Tinos"/>
          <w:sz w:val="28"/>
          <w:szCs w:val="28"/>
          <w:lang w:eastAsia="en-US"/>
        </w:rPr>
        <w:t xml:space="preserve"> </w:t>
      </w:r>
      <w:r>
        <w:rPr>
          <w:rFonts w:eastAsia="Calibri" w:ascii="Tinos" w:hAnsi="Tinos"/>
          <w:b w:val="false"/>
          <w:bCs w:val="false"/>
          <w:sz w:val="28"/>
          <w:szCs w:val="28"/>
          <w:lang w:eastAsia="en-US"/>
        </w:rPr>
        <w:t xml:space="preserve"> </w:t>
      </w:r>
      <w:r>
        <w:rPr>
          <w:rFonts w:ascii="Tinos" w:hAnsi="Tinos"/>
          <w:sz w:val="28"/>
          <w:szCs w:val="28"/>
        </w:rPr>
        <w:t>тыс. рублей»;</w:t>
      </w:r>
    </w:p>
    <w:p>
      <w:pPr>
        <w:pStyle w:val="Normal"/>
        <w:shd w:val="clear" w:color="auto" w:fill="FFFFFF"/>
        <w:ind w:firstLine="698" w:left="10" w:right="-1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-  главу 8 изложить в новой редакции согласно приложению.</w:t>
      </w:r>
    </w:p>
    <w:p>
      <w:pPr>
        <w:pStyle w:val="Normal"/>
        <w:shd w:val="clear" w:color="auto" w:fill="FFFFFF"/>
        <w:ind w:firstLine="698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firstLine="698" w:left="10" w:right="-1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rFonts w:eastAsia="Calibri"/>
          <w:spacing w:val="-2"/>
          <w:sz w:val="28"/>
          <w:szCs w:val="28"/>
          <w:lang w:eastAsia="en-US"/>
        </w:rPr>
        <w:t>Исполнительного комитета                                                                          Ф.Ш. Салахов</w:t>
      </w:r>
      <w:r>
        <w:rPr>
          <w:rFonts w:eastAsia="Calibri"/>
          <w:spacing w:val="-2"/>
          <w:sz w:val="24"/>
          <w:szCs w:val="24"/>
          <w:lang w:eastAsia="en-US"/>
        </w:rPr>
        <w:t xml:space="preserve">    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>Нотфуллина Н.А.</w:t>
      </w:r>
    </w:p>
    <w:p>
      <w:pPr>
        <w:sectPr>
          <w:type w:val="nextPage"/>
          <w:pgSz w:w="11906" w:h="16838"/>
          <w:pgMar w:left="85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shd w:val="clear" w:color="auto" w:fill="FFFFFF"/>
        <w:tabs>
          <w:tab w:val="clear" w:pos="708"/>
          <w:tab w:val="left" w:pos="8430" w:leader="none"/>
        </w:tabs>
        <w:ind w:hanging="0" w:left="10" w:right="-1"/>
        <w:jc w:val="both"/>
        <w:rPr>
          <w:sz w:val="20"/>
          <w:szCs w:val="20"/>
        </w:rPr>
      </w:pPr>
      <w:r>
        <w:rPr>
          <w:rFonts w:eastAsia="Calibri"/>
          <w:spacing w:val="-2"/>
          <w:sz w:val="20"/>
          <w:szCs w:val="20"/>
          <w:lang w:eastAsia="en-US"/>
        </w:rPr>
        <w:t xml:space="preserve">305677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Приложение 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к постановлению</w:t>
      </w:r>
    </w:p>
    <w:p>
      <w:pPr>
        <w:pStyle w:val="Normal"/>
        <w:shd w:val="clear" w:fill="FFFFFF"/>
        <w:ind w:hanging="0" w:left="0" w:right="-1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Исполнительного комитета </w:t>
      </w:r>
    </w:p>
    <w:p>
      <w:pPr>
        <w:pStyle w:val="Normal"/>
        <w:shd w:val="clear" w:fill="FFFFFF"/>
        <w:ind w:hanging="0" w:left="0" w:right="-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«____» _________ 2025 № ______</w:t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/>
        <w:ind w:hanging="0" w:left="0" w:right="-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hd w:val="clear" w:fill="FFFFFF"/>
        <w:spacing w:lineRule="auto" w:line="276" w:before="0" w:after="200"/>
        <w:ind w:hanging="0" w:left="0" w:right="-1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Глава 8.  Цели, задачи, индикаторы оценки результатов программы и финансирование по мероприятиям программы</w:t>
      </w:r>
    </w:p>
    <w:tbl>
      <w:tblPr>
        <w:tblW w:w="163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981"/>
        <w:gridCol w:w="2976"/>
        <w:gridCol w:w="1419"/>
        <w:gridCol w:w="1841"/>
        <w:gridCol w:w="680"/>
        <w:gridCol w:w="724"/>
        <w:gridCol w:w="689"/>
        <w:gridCol w:w="646"/>
        <w:gridCol w:w="1153"/>
        <w:gridCol w:w="62"/>
        <w:gridCol w:w="1260"/>
        <w:gridCol w:w="1244"/>
      </w:tblGrid>
      <w:tr>
        <w:trPr/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Наименование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Исполнитель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Сроки выполнения основных мероприятий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Индикатор оценки конечных результатов, единица измерения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Значения индикаторов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с указанием источника финансирования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(тыс. руб.)</w:t>
            </w:r>
          </w:p>
        </w:tc>
      </w:tr>
      <w:tr>
        <w:trPr>
          <w:trHeight w:val="227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базовый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2025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Цель: повышение уровня защищённости жизни и спокойствия граждан, проживающих на территории муниципального образования город Набережные Челны, их законных прав и интересов на основе противодействия экстремизму и терроризму, профилактики и предупреждения их проявлений в городе Набережные Челны</w:t>
            </w:r>
          </w:p>
        </w:tc>
      </w:tr>
      <w:tr>
        <w:trPr>
          <w:trHeight w:val="323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1. Обеспечение условий для профилактической работы с лицами, подверженными воздействию идеологии, а также попавшими под её влияние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заседаний муниципальной рабочей группы по работе с лицами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муниципальной рабочей группы,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Реализация мер по стимулированию некоммерческих (в том числе религиозных) организаций и общественных активистов за участие в адресных профилактических мероприятиях с лицами категории «особого внимания» (риска)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комитета, управление по делам молодёжи Исполнительного комитета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профилактической работой с привлечением общественных активистов,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специалистов для подготовки должностных лиц и общественных активистов, задействованных в работе с лицами категории «особого внимания» (риска), диагностики состояния, оказания психологической и психотерапевтической помощи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специалистов,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специалистов управления по делам молодёжи, спортивных организаций, молодёжных общественных активистов в реализации непрерывных мер поддержки социализирующего характера лиц категории «особого внимания» (риска)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охваченных указанными услугами,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должностных лиц образовательных организаций, закреплённых функциональным регламентом, в проведении упреждающей адресной работы с лицами категории «особого внимания»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групповых корректирующих мероприятий (тренингов, семинаров) с учебными классами, в которых обучаются лица категории «особого внимания» (риска) (или их дети),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межотраслевого семинара профессионального мастерства специалистов, участвующих в адресной профилактической работе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семинаров,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84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молодёжной среде и образовательной сфере профориентационной работы для привлечения в сферы образования и молодёжной политики социальных педагогов, оказание информационного содействия в получении соответствующего образования и последующем трудоустройстве в городе Набережные Челны по специальности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постоянно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работы по склонению лиц категории особого внимания (риска) к выступлениям, направленным на формирование стойкого неприятия идеологии терроризма и привитие традиционных российских духовно-нравственных ценностей в средствах массовой информации, социальных сетях, публичных мероприятиях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 управление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лиц категории «особого внимания» (риска), выступивших с подобными разъяснениями,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мероприятий по привлечению молодёжи, не вовлечённой в системный трудовой и учебный процессы, а также представителей неформальных молодёжных формирований к реализации общественно значимых социальных проектов и программ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 Исполнительного комитета,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мониторинга активности жителей муниципального образования в деструктивных сообществах в сети «Интернет»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информационных справок по итогам мониторинга,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55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выполнение представленных экспертиз,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810" distB="3810" distL="635" distR="0" simplePos="0" locked="0" layoutInCell="1" allowOverlap="1" relativeHeight="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262255</wp:posOffset>
                      </wp:positionV>
                      <wp:extent cx="1847850" cy="0"/>
                      <wp:effectExtent l="635" t="3810" r="0" b="3810"/>
                      <wp:wrapNone/>
                      <wp:docPr id="1" name="Прямая соединительная линия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80" cy="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4pt,20.65pt" to="140.05pt,20.65pt" ID="Прямая соединительная линия 1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175" distR="3810" simplePos="0" locked="0" layoutInCell="1" allowOverlap="1" relativeHeight="10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255905</wp:posOffset>
                      </wp:positionV>
                      <wp:extent cx="635" cy="1704975"/>
                      <wp:effectExtent l="3175" t="0" r="3810" b="635"/>
                      <wp:wrapNone/>
                      <wp:docPr id="2" name="Прямая соединительная линия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.9pt,20.15pt" to="40.9pt,154.35pt" ID="Прямая соединительная линия 15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635" distL="3810" distR="3810" simplePos="0" locked="0" layoutInCell="1" allowOverlap="1" relativeHeight="1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256540</wp:posOffset>
                      </wp:positionV>
                      <wp:extent cx="0" cy="1695450"/>
                      <wp:effectExtent l="3810" t="0" r="3810" b="635"/>
                      <wp:wrapNone/>
                      <wp:docPr id="3" name="Прямая соединительная линия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69560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15pt,20.2pt" to="97.15pt,153.65pt" ID="Прямая соединительная линия 16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left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500,0           700,0             500,0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во взаимодействии с руководством религиозных организаций процедуры отбора и направления кандидатов в ведущие российские теологические учебные заведения (Болгарскую исламскую академию) для подготовки духовных лидеров, исповедующих традиционные для Республики Татарстан формы ислама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направленных кандидатов,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на базе высших и профессиональных образовательных организаций мероприятий по разъяснению традиционных российских духовно-нравственных ценностей  с участием представителей общественных и религиозных организаций, психологов, студенческих структур самоуправления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с общественностью Исполнительного комитета</w:t>
            </w:r>
            <w:r>
              <w:rPr>
                <w:rFonts w:eastAsia="Calibri"/>
                <w:sz w:val="21"/>
                <w:szCs w:val="21"/>
                <w:lang w:eastAsia="en-US"/>
              </w:rPr>
              <w:t>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мероприятий.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Реализация индивидуальных профилактических мероприятий в отношении подростков и детей, находившихся под влиянием  националистических и неонацистских структур, а также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комитета, отдел по связям с общественностью управления информационной политики и по связям с общественностью. помощник Мэра по противодействию коррупции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подготовки и  распространение среди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C9211E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C9211E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Организация работы по созданию и использованию в профилактике цифровых платформ, предусматривающих индивидуальное сопровождение учащихся и студентов, требующих дополнительного профилактического внимания, а также нуждающихся в социально-психологической поддержке, подверженных влиянию террористической и иной деструктивной идеологии.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Управление по делам молодёжи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 общественностью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проведенных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556" w:hRule="atLeast"/>
        </w:trPr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2. Формирование у населения города Набережные Челны антитеррористического сознания</w:t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деятельности информационно-пропагандисткой группы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заседаний рабочих групп,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769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Разработка, изготовление буклетов, плакатов, распространение памяток и календарей по профилактике терроризма, экстремизма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буклетов,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4" name="Прямая соедините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3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5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3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4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6" name="Вертик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32,0              32,0               32,0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9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плакатов,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0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памяток, шт.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4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Изготовление календарей домиком,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300</w:t>
            </w:r>
          </w:p>
        </w:tc>
        <w:tc>
          <w:tcPr>
            <w:tcW w:w="371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Издание информационных материалов по профилактике экстремизма, формированию позитивных жизненных ценностей в молодёжной среде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буклеты, шт.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800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mc:AlternateContent>
                <mc:Choice Requires="wps">
                  <w:drawing>
                    <wp:anchor behindDoc="0" distT="3175" distB="3810" distL="0" distR="635" simplePos="0" locked="0" layoutInCell="1" allowOverlap="1" relativeHeight="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309880</wp:posOffset>
                      </wp:positionV>
                      <wp:extent cx="1885950" cy="635"/>
                      <wp:effectExtent l="0" t="3175" r="635" b="3810"/>
                      <wp:wrapNone/>
                      <wp:docPr id="7" name="Прямая соедините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040" cy="72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9pt,24.4pt" to="141.55pt,24.4pt" ID="Прямая соединительная линия 2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0" distB="635" distL="3810" distR="3175" simplePos="0" locked="0" layoutInCell="1" allowOverlap="1" relativeHeight="6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51435</wp:posOffset>
                      </wp:positionV>
                      <wp:extent cx="635" cy="1704975"/>
                      <wp:effectExtent l="3810" t="0" r="3175" b="635"/>
                      <wp:wrapNone/>
                      <wp:docPr id="8" name="Прямая соединительная линия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1704960"/>
                              </a:xfrm>
                              <a:prstGeom prst="line">
                                <a:avLst/>
                              </a:prstGeom>
                              <a:ln w="648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1.85pt,4.05pt" to="91.85pt,138.25pt" ID="Прямая соединительная линия 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60325</wp:posOffset>
                      </wp:positionV>
                      <wp:extent cx="0" cy="1457325"/>
                      <wp:effectExtent l="635" t="635" r="635" b="635"/>
                      <wp:wrapNone/>
                      <wp:docPr id="9" name="Вертикальная линия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57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4.2pt,4.75pt" to="44.2pt,119.45pt" ID="Вертикальная линия 2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20,0              20,0               20,0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8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558800</wp:posOffset>
                      </wp:positionV>
                      <wp:extent cx="634365" cy="635"/>
                      <wp:effectExtent l="635" t="635" r="635" b="635"/>
                      <wp:wrapNone/>
                      <wp:docPr id="10" name="Горизонтальная линия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7.2pt,44pt" to="117.1pt,44pt" ID="Горизонтальная линия 1" stroked="t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квалифицированных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</w:t>
            </w: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лекций/выступлений, проведённых привлеченными лекторами,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Подготовка муниципального актива лекторов-пропагандистов для информационно-разъяснительной работы с населением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Заместитель Руководителя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обученных, квалифицированных лекторов из числа жителей муниципального образования, чел.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8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культурных и спортивных мероприятий, посвящённых Дню солидарности в борьбе с терроризмом (3 сентября)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17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месячника по профилактике экстремизма и терроризма «Экстремизму – Нет»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комитета, сектор гражданской обороны и защиты населения Исполнительного комитета, помощник Мэра по противодействию коррупции (по согласованию)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сентябрь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82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совещаний с председателями территориальных общественных самоуправлений по вопросам поддержания бдительности и участия в профилактике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Администрации районов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ежемесячно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Разработка (подбор) и размещение информации антитеррористического содержания, в том числе видеороликов в муниципальном сегменте социальных сетей, иных информационных ресурсах сети «Интернет» муниципального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Управление информационной политики и по связям с общественностью Исполнительного комитета, сектор гражданской обороны и защиты </w:t>
            </w:r>
            <w:bookmarkStart w:id="0" w:name="_GoBack"/>
            <w:bookmarkEnd w:id="0"/>
            <w:r>
              <w:rPr>
                <w:rFonts w:eastAsia="Calibri"/>
                <w:sz w:val="21"/>
                <w:szCs w:val="21"/>
                <w:lang w:eastAsia="en-US"/>
              </w:rPr>
              <w:t>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размещённых материалов,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Публикация в средствах массовой информации тематических проповедей представителей официальных религиозных конфессий, направленных на единение сограждан в деле противодействия терроризму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Отдел по связям с общественностью управления информационной политики и по связям с общественностью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публикаций,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Привлечение национальных диаспор: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проведению работы, направленной на предупреждение террористической и экстремистской деятельности;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- к организации и проведению совместных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МАУК «Дом дружбы народов «Родник»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ежеквартально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кейс-чемпионатов, квестов, круглых столов, встреч, фестивалей, конкурсов и акций среди молодёжи на темы профилактики терроризма и экстремизма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603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29.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конкурса исследовательских работ и проектов (акций и мероприятий) среди студентов профессиональных образовательных организаций, организаций высшего образования города Набережные Челны по проблемам противодействия терроризму и экстремизму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МАУ «Молодёжный центр «Нур»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2023-2025 годы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награждаемых (финансирование подарков), чел.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241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18,0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</w:tr>
      <w:tr>
        <w:trPr>
          <w:trHeight w:val="41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конкурса на лучшую творческую работу «Мы за дружбу народов! Мы против насилия!»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комитета, МАУДО «Детская художественная школа № 2»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12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занятий в формате «Университет для родителей», направленных на повышение уровня знаний в вопросах воспитания, взаимопонимания, межнациональной солидарности, медиабезопасности детей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доля родителей, охваченных профилактическими занятиями, в общем количестве семей, 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150" w:after="15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мероприятий по профилактике экстремизма, формированию межэтнического и межконфессионального согласия, толерантности среди детей и молодёжи, родителей и специалистов, работающих с молодёжью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в образовательных организациях занятий по разъяснению основ законодательства в сфере межнациональных и межконфессиональных отношений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Организация и проведение в образовательных организациях 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Проведение среди обучающихся образовательных организаций классных часов, направленных на развитие у обучающихся толерантности в межнациональных и межконфессиональных отношениях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течение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162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Участие в молодёжных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муниципальное бюджетное учреждение "Центр молодежных (студенческих) формирований по охране общественного порядка "ФОРПОСТ"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тематического семинара в рамках работы методического объединения специалистов молодёжной политики по организации работы в сфере профилактики экстремизма и формирования толерантности в подростковой молодёжной среде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Обеспечение проведения опроса, направленного на определение уровня сформированности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МБУ «Центр психолого-педагогической помощи детям и молодёжи «Диалог»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течении учебного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2966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39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 формирования и функционирования электронного каталога антитеррористических материалов</w:t>
            </w:r>
            <w:r>
              <w:fldChar w:fldCharType="begin"/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instrText xml:space="preserve"> HYPERLINK "https://www.garant.ru/products/ipo/prime/doc/408366785/" \l "10222"</w:instrTex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separate"/>
            </w:r>
            <w:r>
              <w:rPr>
                <w:rStyle w:val="ListLabel1"/>
                <w:rFonts w:eastAsia="Calibri"/>
                <w:color w:val="000000"/>
                <w:sz w:val="21"/>
                <w:szCs w:val="21"/>
                <w:lang w:eastAsia="en-US"/>
              </w:rPr>
              <w:t xml:space="preserve"> (текстовых, графических, аудио и видео) с предоставлением к нему свободного доступа, прежде всего для использования при проведении общепрофилактических, адресных, индивидуальных и информационно-пропагандистских мероприятий.</w:t>
            </w:r>
            <w:r>
              <w:rPr>
                <w:rStyle w:val="ListLabel1"/>
                <w:sz w:val="21"/>
                <w:szCs w:val="21"/>
                <w:rFonts w:eastAsia="Calibri"/>
                <w:color w:val="000000"/>
                <w:lang w:eastAsia="en-US"/>
              </w:rPr>
              <w:fldChar w:fldCharType="end"/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/>
              <w:t>Помощник Мэра по противодействию коррупции (по согласованию),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color w:val="FF0000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информационной политики и по связям с общественностью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молодёжи Исполнительного комитета, управление образования Исполнительного комитета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63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Задача 3. Проведение мероприятий по повышению антитеррористической защищенности образовательных организаций и мест массового пребывания людей</w:t>
            </w:r>
          </w:p>
        </w:tc>
      </w:tr>
      <w:tr>
        <w:trPr>
          <w:trHeight w:val="345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lineRule="auto" w:line="252"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 общеобразовательных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50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60 136,13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61 041,00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69 615,80</w:t>
            </w:r>
          </w:p>
        </w:tc>
      </w:tr>
      <w:tr>
        <w:trPr>
          <w:trHeight w:val="360" w:hRule="atLeast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9" w:leader="none"/>
              </w:tabs>
              <w:spacing w:before="0" w:after="0"/>
              <w:ind w:hanging="0" w:left="-15" w:right="0"/>
              <w:contextualSpacing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41.</w:t>
            </w:r>
          </w:p>
        </w:tc>
        <w:tc>
          <w:tcPr>
            <w:tcW w:w="2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дошкольных 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Муниципальный бюджет</w:t>
            </w:r>
          </w:p>
        </w:tc>
      </w:tr>
      <w:tr>
        <w:trPr>
          <w:trHeight w:val="1935" w:hRule="atLeast"/>
        </w:trPr>
        <w:tc>
          <w:tcPr>
            <w:tcW w:w="7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84 915,11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84 262,83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90 000,10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дополнительного образования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образования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общеобразовательных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12 006,34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13 725,19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15 173,39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43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молодежи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по делам молодежи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молодежных организаций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608,30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592,50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44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культуры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 xml:space="preserve">      </w:t>
            </w:r>
            <w:r>
              <w:rPr>
                <w:rFonts w:eastAsia="Calibri"/>
                <w:sz w:val="21"/>
                <w:szCs w:val="21"/>
                <w:lang w:eastAsia="en-US"/>
              </w:rPr>
              <w:t>Управление культуры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культуры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9 266,42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11 070,92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12 219,15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45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Вневедомственная охрана и содержание кнопки</w:t>
            </w:r>
          </w:p>
          <w:p>
            <w:pPr>
              <w:pStyle w:val="Normal"/>
              <w:widowControl w:val="false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тревожной сигнализации в учреждениях физической культуры и спорта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обеспеченность учреждений физической культуры и спорта</w:t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исправными системами видеонаблюдения и кнопками тревожной сигнализации, %</w:t>
            </w:r>
          </w:p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12 520,94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12 881,78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13 875,28</w:t>
            </w:r>
          </w:p>
        </w:tc>
      </w:tr>
      <w:tr>
        <w:trPr>
          <w:trHeight w:val="69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46.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rFonts w:eastAsia="Calibri"/>
                <w:b w:val="false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>Актуализация реестра мест с массовым пребыванием людей в соответствии с постановлением Правительства Российской Федерации от 25.03.2015</w:t>
            </w:r>
          </w:p>
          <w:p>
            <w:pPr>
              <w:pStyle w:val="Heading1"/>
              <w:widowControl w:val="false"/>
              <w:shd w:val="clear" w:fill="FFFFFF"/>
              <w:spacing w:before="0" w:after="0"/>
              <w:ind w:hanging="0" w:left="0" w:right="0"/>
              <w:jc w:val="both"/>
              <w:rPr>
                <w:b w:val="false"/>
                <w:color w:val="22272F"/>
                <w:sz w:val="21"/>
                <w:szCs w:val="21"/>
                <w:lang w:eastAsia="en-US"/>
              </w:rPr>
            </w:pP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№ </w:t>
            </w:r>
            <w:r>
              <w:rPr>
                <w:rFonts w:eastAsia="Calibri"/>
                <w:b w:val="false"/>
                <w:sz w:val="21"/>
                <w:szCs w:val="21"/>
                <w:lang w:eastAsia="en-US"/>
              </w:rPr>
              <w:t xml:space="preserve">272 </w:t>
            </w:r>
            <w:r>
              <w:rPr>
                <w:b w:val="false"/>
                <w:sz w:val="21"/>
                <w:szCs w:val="21"/>
                <w:lang w:eastAsia="en-US"/>
              </w:rPr>
              <w:t>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 (далее – Постановление от 25.03.2015 № 272)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 w:left="0" w:right="0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47.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Комиссионные обследования мест массового пребывания людей на предмет профилактики и предупреждения террористических актов, антитеррористической защищённости в соответствии с Постановлением от 25.03.2015 № 272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по мере необходимости</w:t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 мероприятий, ед.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(при необходимости)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48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/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Проведение мероприятий, посвященных 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"Интернет".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по делам молодёжи Исполнительного комитета, управление культуры Исполнительного комитета, управление образования Исполнительного комитета, управление физической культуры и спорта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администрации районов, 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>
          <w:trHeight w:val="1935" w:hRule="atLeast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49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Обеспечение изучения библиотечных фондов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культуры Исполнительного комитета, управление образования Исполнительного комитета,</w:t>
            </w:r>
          </w:p>
          <w:p>
            <w:pPr>
              <w:pStyle w:val="Normal"/>
              <w:widowControl w:val="false"/>
              <w:spacing w:lineRule="auto" w:line="252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Мэра по противодействию коррупции (по согласованию)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ежегодно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ед.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37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/>
              <w:t>финансирование не требуется</w:t>
            </w:r>
          </w:p>
        </w:tc>
      </w:tr>
      <w:tr>
        <w:trPr/>
        <w:tc>
          <w:tcPr>
            <w:tcW w:w="12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hanging="0" w:left="0" w:right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1"/>
                <w:szCs w:val="21"/>
                <w:lang w:eastAsia="en-US"/>
              </w:rPr>
              <w:t>Итого: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180 043,24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sz w:val="21"/>
                <w:szCs w:val="21"/>
              </w:rPr>
              <w:t>184 380,02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</w:r>
          </w:p>
          <w:p>
            <w:pPr>
              <w:pStyle w:val="Style16"/>
              <w:ind w:hanging="0" w:left="0" w:right="0"/>
              <w:jc w:val="right"/>
              <w:rPr>
                <w:rFonts w:ascii="Times New Roman" w:hAnsi="Times New Roman"/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  <w:t>202 066,22</w:t>
            </w:r>
          </w:p>
        </w:tc>
      </w:tr>
    </w:tbl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Аппарата,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управления делопроизводством</w:t>
      </w:r>
    </w:p>
    <w:p>
      <w:pPr>
        <w:pStyle w:val="Normal"/>
        <w:widowControl/>
        <w:tabs>
          <w:tab w:val="clear" w:pos="708"/>
          <w:tab w:val="left" w:pos="9923" w:leader="none"/>
        </w:tabs>
        <w:ind w:hanging="0" w:left="0" w:right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4"/>
          <w:szCs w:val="24"/>
          <w:lang w:eastAsia="en-US"/>
        </w:rPr>
        <w:t>Исполнительного комитета</w:t>
        <w:tab/>
        <w:tab/>
        <w:tab/>
        <w:tab/>
        <w:t xml:space="preserve"> </w:t>
        <w:tab/>
        <w:t xml:space="preserve">   Н.И. Галиева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ind w:hanging="0" w:left="0" w:right="5245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qFormat/>
    <w:pPr>
      <w:widowControl/>
      <w:spacing w:before="280" w:after="280"/>
      <w:ind w:hanging="0" w:left="0" w:right="0"/>
      <w:outlineLvl w:val="0"/>
    </w:pPr>
    <w:rPr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Application>LibreOffice/7.6.7.2$Linux_X86_64 LibreOffice_project/60$Build-2</Application>
  <AppVersion>15.0000</AppVersion>
  <Pages>17</Pages>
  <Words>3162</Words>
  <Characters>23529</Characters>
  <CharactersWithSpaces>26872</CharactersWithSpaces>
  <Paragraphs>639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2023-03-06T08:10:00Z</cp:lastPrinted>
  <dcterms:modified xsi:type="dcterms:W3CDTF">2025-07-09T13:55:41Z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