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/>
      <w:bookmarkStart w:id="0" w:name="_Hlk68079947"/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</w:r>
      <w:r>
        <w:rPr>
          <w:rFonts w:ascii="Times New Roman" w:hAnsi="Times New Roman" w:cs="Times New Roman"/>
          <w:sz w:val="22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bookmarkStart w:id="1" w:name="_Hlk204094991"/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затрат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связанных с комплексным сопровождением и</w:t>
      </w:r>
      <w:r>
        <w:rPr>
          <w:rFonts w:ascii="Times New Roman" w:hAnsi="Times New Roman" w:cs="Times New Roman"/>
          <w:sz w:val="28"/>
          <w:szCs w:val="28"/>
        </w:rPr>
        <w:t xml:space="preserve"> 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</w:t>
      </w:r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2" w:name="sub_1"/>
      <w:r>
        <w:rPr>
          <w:rFonts w:ascii="Times New Roman" w:hAnsi="Times New Roman" w:cs="Times New Roman"/>
          <w:sz w:val="28"/>
          <w:szCs w:val="28"/>
        </w:rPr>
        <w:t xml:space="preserve">В целях реализации ме</w:t>
      </w:r>
      <w:r>
        <w:rPr>
          <w:rFonts w:ascii="Times New Roman" w:hAnsi="Times New Roman" w:cs="Times New Roman"/>
          <w:sz w:val="28"/>
          <w:szCs w:val="28"/>
        </w:rPr>
        <w:t xml:space="preserve">роприятия регионального проекта «Поддержка субъектов малого и среднего предпринимательства в Республике Татарстан» государственной программы Республики Татарстан «Экономическое развитие и инновационная экономика Республики Татарстан», утвержденной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лением Кабинета Министров Республики Татарстан от 31.10.2013 № 823 «Об утверждении государственной программы Республики Татарстан «Экономическое развитие и инновационная экономика Республики Татарстан», Кабинет Министров Республики Татарстан ПОСТАНОВЛЯЕТ: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bookmarkStart w:id="3" w:name="_Hlk190355568"/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затрат, связанных с комплексным сопровождением и </w:t>
      </w:r>
      <w:r>
        <w:rPr>
          <w:rFonts w:ascii="Times New Roman" w:hAnsi="Times New Roman" w:cs="Times New Roman"/>
          <w:sz w:val="28"/>
          <w:szCs w:val="28"/>
        </w:rPr>
        <w:t xml:space="preserve">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зон.</w:t>
      </w:r>
      <w:bookmarkEnd w:id="2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следующие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hyperlink r:id="rId11" w:tooltip="https://internet.garant.ru/document/redirect/22516532/0" w:history="1">
        <w:r>
          <w:rPr>
            <w:rFonts w:ascii="Times New Roman" w:hAnsi="Times New Roman" w:cs="Times New Roman"/>
            <w:sz w:val="28"/>
            <w:szCs w:val="28"/>
          </w:rPr>
          <w:t xml:space="preserve">от 19.11.2021 № 1105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из </w:t>
      </w:r>
      <w:r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26.05.2022 № 490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Порядок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выращиванию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утвержденный постановлением Кабинета Министров Республики Татарстан от 19.11.2021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1105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выращиванию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20.10.2022 № 1116 «О внесении изменений в постановление Кабинета Министров Республики Татарстан от 31.10.2013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823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Экономическое развитие и инновационная экономика Республики Татарстан на </w:t>
      </w:r>
      <w:r>
        <w:rPr>
          <w:rFonts w:ascii="Times New Roman" w:hAnsi="Times New Roman" w:cs="Times New Roman"/>
          <w:sz w:val="28"/>
          <w:szCs w:val="28"/>
        </w:rPr>
        <w:t xml:space="preserve">2014-2024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в отдельные постановления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18.11.2022 № 1235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предоставления субсидий из бюджета Республики Татарстан на финансовое обеспечение (возмещение) затрат,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предпринимательства, утвержденный постановлением Кабинета Министров Республики Татарстан от 19.11.2021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1105 «Об утверждении Порядка предоставления субсид</w:t>
      </w:r>
      <w:r>
        <w:rPr>
          <w:rFonts w:ascii="Times New Roman" w:hAnsi="Times New Roman" w:cs="Times New Roman"/>
          <w:sz w:val="28"/>
          <w:szCs w:val="28"/>
        </w:rPr>
        <w:t xml:space="preserve">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07.04.2023 № 429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предоставления субсидий из бюджета Республики Татарстан на финансовое обеспечение (возмещение) затрат,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предпринимательства, утвержденный постановлением Кабинета Министров Республики Татарстан от 19.11.2021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1105 «Об утверждении Порядка предоставления субсид</w:t>
      </w:r>
      <w:r>
        <w:rPr>
          <w:rFonts w:ascii="Times New Roman" w:hAnsi="Times New Roman" w:cs="Times New Roman"/>
          <w:sz w:val="28"/>
          <w:szCs w:val="28"/>
        </w:rPr>
        <w:t xml:space="preserve">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11.11.2023 № 1459 «Об утверждении Порядка предоставления субсидии из бюджета Республики Татарстан некоммерчес</w:t>
      </w:r>
      <w:r>
        <w:rPr>
          <w:rFonts w:ascii="Times New Roman" w:hAnsi="Times New Roman" w:cs="Times New Roman"/>
          <w:sz w:val="28"/>
          <w:szCs w:val="28"/>
        </w:rPr>
        <w:t xml:space="preserve">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</w:t>
      </w:r>
      <w:r>
        <w:rPr>
          <w:rFonts w:ascii="Times New Roman" w:hAnsi="Times New Roman" w:cs="Times New Roman"/>
          <w:sz w:val="28"/>
          <w:szCs w:val="28"/>
        </w:rPr>
        <w:t xml:space="preserve">также резидентам промышленных парков, технопарков комплексных услуг»;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13.03.2024 № 137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постановления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26.08.2024 № 695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изменения в Порядок предоставления субсидии из бюджета Республики Татарстан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</w:t>
      </w:r>
      <w:r>
        <w:rPr>
          <w:rFonts w:ascii="Times New Roman" w:hAnsi="Times New Roman" w:cs="Times New Roman"/>
          <w:sz w:val="28"/>
          <w:szCs w:val="28"/>
        </w:rPr>
        <w:t xml:space="preserve">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услуг, утвержденный постановлением Кабинета Министров Республики Татарстан от 11.11.2023 № 1459»;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29.08.2024 №711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Кабинета Министров Республики Татарстан от 19.11.2021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1105 «Об утверждении Порядка предоставления субсид</w:t>
      </w:r>
      <w:r>
        <w:rPr>
          <w:rFonts w:ascii="Times New Roman" w:hAnsi="Times New Roman" w:cs="Times New Roman"/>
          <w:sz w:val="28"/>
          <w:szCs w:val="28"/>
        </w:rPr>
        <w:t xml:space="preserve">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30.01.2025 № 40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предоставления субсидий из бюджета Республики Татарстан на финансовое обеспечение (возмещение) затрат,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предпринимательства, утвержденный постановлением Кабинета Министров Республики Татарстан от 19.11.2021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1105»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Министерство экономики Республики Татарстан.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 w:firstLine="6663"/>
        <w:rPr>
          <w:rFonts w:ascii="Times New Roman" w:hAnsi="Times New Roman" w:cs="Times New Roman"/>
          <w:b w:val="0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7"/>
          <w:szCs w:val="27"/>
        </w:rPr>
        <w:br w:type="page" w:clear="all"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№ 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некоммерческим организациям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(возмещение) затрат, связанных с комплексным сопровождением и поддержкой проектов развития субъектов </w:t>
      </w:r>
      <w:bookmarkStart w:id="4" w:name="_Hlk200536841"/>
      <w:r>
        <w:rPr>
          <w:rFonts w:ascii="Times New Roman" w:hAnsi="Times New Roman" w:cs="Times New Roman"/>
          <w:bCs/>
          <w:sz w:val="28"/>
          <w:szCs w:val="28"/>
        </w:rPr>
        <w:t xml:space="preserve">малого и среднего предпринимательства</w:t>
      </w:r>
      <w:bookmarkEnd w:id="4"/>
      <w:r>
        <w:rPr>
          <w:rFonts w:ascii="Times New Roman" w:hAnsi="Times New Roman" w:cs="Times New Roman"/>
          <w:bCs/>
          <w:sz w:val="28"/>
          <w:szCs w:val="28"/>
        </w:rPr>
        <w:t xml:space="preserve">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разработан в соответствии с Бюджетным кодексом Российской Федерации, постановлением Правительства Российской Федерации от 25 октября 2023 г. № 1782 «Об утверждении общих требований к нормативным правовым акта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цели, условия и механизм предоставления субсидий из бюджета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некоммерческим организациям (далее - участник отбора)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обеспечение (возмещение) затрат, связанных с компл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ексным сопровождением и 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собых экономических зон (далее – субсидия) в рамках реализации регионального проекта «Поддержка субъектов малого и среднего предпринимательства в Республике Татарстан» государственной программы Республики Татарстан «Экономическое развитие и инновационная 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кономика Республики Татарстан», утвержденной постановлением Кабинета Министров Республики Татарстан от 31.10.2013 № 823 «Об утверждении государственной программы Республики Татарстан «Экономическое развитие и инновационная экономика Республики Татарстан».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субсидии является финансовое обеспечение расходов и (или) возмещение затрат участника отбора, связанных с комплексным сопровождением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применения настоящего Порядка под сопровождением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 понимаются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информационные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консультационные услуги, оказываемые участником отбора, в том числе разработка индивидуальных карт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содействие в получении имущественной поддержки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следующим категориям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малого и среднего предпринимательства: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реализующим проекты развития, связанные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созданием, модернизацией и расширением производств,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разработкой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освоением 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видов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и услуг, в том числе в целях импортозамещения,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расширением рынк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сбыта, кооперацией с крупным бизнесом,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цифровизацией производства и повышением производительности труда,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вовлечением в хозяйственный оборот неиспользуемого муниципального и республиканского имущества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проекты развития);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резидентам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(потенциальным резидентам)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участникам кластеров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целях получения мер государственной поддержки и мониторинг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реализации;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управляющим компаниям (потенциальным управляющим компаниям) в целях реализации проектов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созданию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мониторинга их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проекты промышленных парков)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 поддержкой проектов развития субъектов малого и среднего предпринимательства,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промышленных парков понимается оказание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участником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привлечением сторонних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/>
      <w:bookmarkStart w:id="5" w:name="sub_102"/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Субсиди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 в пределах бюджетных ассигнований, предусмотренных в законе Республики Татарстан о бюджете Республики Татарстан на соответствующий финансовый г</w:t>
      </w:r>
      <w:r>
        <w:rPr>
          <w:rFonts w:ascii="Times New Roman" w:hAnsi="Times New Roman" w:cs="Times New Roman"/>
          <w:sz w:val="28"/>
          <w:szCs w:val="28"/>
        </w:rPr>
        <w:t xml:space="preserve">од и на плановый период, и лимитов бюджетных обязательств, доведенных в установленном порядке до Министерства как до получателя бюджетных средств на предоставление субсидий на соответствующий финансовый год на цель, указанную в пункте 1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государственной власти, осуществляющим функции главного распорядителя бюджетных средств, является Министерство.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Направления расходов (затрат), источником финансового обеспечения и (или) возмещения которых является субсидия: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сотрудников, включая начисления на оплату труда;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услуг связи и информационно-телекоммуникационной сети «Интернет», коммунальных услуг, арендной платы за пользование имуществом, услуг по содержанию имущества;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создание, модернизацию, продвижение, техническую поддержку, </w:t>
      </w:r>
      <w:r>
        <w:rPr>
          <w:rFonts w:ascii="Times New Roman" w:hAnsi="Times New Roman" w:cs="Times New Roman"/>
          <w:sz w:val="28"/>
          <w:szCs w:val="28"/>
        </w:rPr>
        <w:t xml:space="preserve">доработку сайтов/порталов</w:t>
      </w:r>
      <w:r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, аренду хостингов, приобретение доступа к базам данных, информационным порталам и системам</w:t>
      </w:r>
      <w:r>
        <w:rPr>
          <w:rFonts w:ascii="Times New Roman" w:hAnsi="Times New Roman" w:cs="Times New Roman"/>
          <w:sz w:val="28"/>
          <w:szCs w:val="28"/>
        </w:rPr>
        <w:t xml:space="preserve">, продвижение информации о существующих мерах поддержки субъектов малого и среднего предпринимательства, включая имущественную поддержку,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командировочные и представительские расходы, транспортные расходы;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приобретение основных средств и нематериальных активов, нефинансовых активов, в том числе мебели, техники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текущие расходы (приобретение канцелярских товаров и расходных материалов, аренда автомобилей, расходы (затраты) на использование специализированных информационных систем, расходы (затраты) на ремонт и сервисное обслуживание офисного оборудования);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услуг сторонних организаций, связанных с </w:t>
      </w:r>
      <w:r>
        <w:rPr>
          <w:rFonts w:ascii="Times New Roman" w:hAnsi="Times New Roman" w:cs="Times New Roman"/>
          <w:sz w:val="28"/>
          <w:szCs w:val="28"/>
        </w:rPr>
        <w:t xml:space="preserve">оказанием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абзаце пятом 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а 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Расчет размера субсидии (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фо</w:t>
      </w:r>
      <w:r>
        <w:rPr>
          <w:rFonts w:ascii="Times New Roman" w:hAnsi="Times New Roman" w:cs="Times New Roman"/>
          <w:sz w:val="28"/>
          <w:szCs w:val="28"/>
        </w:rPr>
        <w:t xml:space="preserve">) на финансовое обеспечение затрат осуществляется по следующей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фо</w:t>
      </w:r>
      <w:r>
        <w:rPr>
          <w:rFonts w:ascii="Times New Roman" w:hAnsi="Times New Roman" w:cs="Times New Roman"/>
          <w:sz w:val="28"/>
          <w:szCs w:val="28"/>
        </w:rPr>
        <w:t xml:space="preserve"> =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– расходы, подлежащие финансовому обеспечению за счет предоставляемой субсидии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расходов на оплату труда сотрудников участника отбора, включая начисления на оплату труда), подлежащие финансовому обеспечению за счет субсидии, определяются Министерством методом сопоставления</w:t>
      </w:r>
      <w:r>
        <w:rPr>
          <w:rFonts w:ascii="Times New Roman" w:hAnsi="Times New Roman" w:cs="Times New Roman"/>
          <w:sz w:val="28"/>
          <w:szCs w:val="28"/>
        </w:rPr>
        <w:t xml:space="preserve">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</w:t>
      </w:r>
      <w:r>
        <w:rPr>
          <w:rFonts w:ascii="Times New Roman" w:hAnsi="Times New Roman" w:cs="Times New Roman"/>
          <w:sz w:val="28"/>
          <w:szCs w:val="28"/>
        </w:rPr>
        <w:t xml:space="preserve">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«Интернет», а также с учетом документов, представ-ленных в соответствии с абзацем третьим пункта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оплату труда сотрудников участника отбора определяются исходя из расчетной численности работников, расчетных должностных окладо</w:t>
      </w:r>
      <w:r>
        <w:rPr>
          <w:rFonts w:ascii="Times New Roman" w:hAnsi="Times New Roman" w:cs="Times New Roman"/>
          <w:sz w:val="28"/>
          <w:szCs w:val="28"/>
        </w:rPr>
        <w:t xml:space="preserve">в в соответствии с утвержденным штатным расписанием, ежемесячных надбавок к должностному окладу, стимулирующих выплат, а также иных выплат, предусмотренных законодательством Российской Федерации, локальными нормативными актами участника отбора. Расходы на </w:t>
      </w:r>
      <w:r>
        <w:rPr>
          <w:rFonts w:ascii="Times New Roman" w:hAnsi="Times New Roman" w:cs="Times New Roman"/>
          <w:sz w:val="28"/>
          <w:szCs w:val="28"/>
        </w:rPr>
        <w:t xml:space="preserve">оплату начислений на оплату труда включают уплату страховых взносов во внебюджетные фонды и взносов по обязательному социальному страхованию от несчастных случаев на производстве и профессиональных заболеваний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размера субсидии (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вз</w:t>
      </w:r>
      <w:r>
        <w:rPr>
          <w:rFonts w:ascii="Times New Roman" w:hAnsi="Times New Roman" w:cs="Times New Roman"/>
          <w:sz w:val="28"/>
          <w:szCs w:val="28"/>
        </w:rPr>
        <w:t xml:space="preserve">) на возмещение затрат осуществляется по следующей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вз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произведенные затраты участника отбора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затрат на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участника отбора, включая начисления на оплату труда), подлежащие возмещению за счет субсидии, определяются Министерством исходя из фактически произведенных затрат с учетом документов, представленных в соответствии с абзацем четвертым пункта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не превышающих рыночных цен идентичных (однородных) товаров, работ, услуг, определяемых путем анализа информации о ценах организац</w:t>
      </w:r>
      <w:r>
        <w:rPr>
          <w:rFonts w:ascii="Times New Roman" w:hAnsi="Times New Roman" w:cs="Times New Roman"/>
          <w:sz w:val="28"/>
          <w:szCs w:val="28"/>
        </w:rPr>
        <w:t xml:space="preserve">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на оплату труда сотрудников участника отбора, подлежащие возмещению за счет субсидии, определяются исходя из фактически произведенных затрат на оплату труда в соответствии с документами, указанными в абзаце четвертом пункта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 Затраты на оплату начи</w:t>
      </w:r>
      <w:r>
        <w:rPr>
          <w:rFonts w:ascii="Times New Roman" w:hAnsi="Times New Roman" w:cs="Times New Roman"/>
          <w:sz w:val="28"/>
          <w:szCs w:val="28"/>
        </w:rPr>
        <w:t xml:space="preserve">слений на оплату труда включают уплату страховых взносов во внебюджетные фонды и взносов по обязательному социальному страхованию от несчастных случаев на производстве и профессиональных заболеваний в соответствии с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субсидии является количество услуг, предоставленных субъектам малого и среднего предпринимательства (единиц). </w:t>
      </w:r>
      <w:r>
        <w:rPr>
          <w:rFonts w:ascii="Times New Roman" w:hAnsi="Times New Roman" w:cs="Times New Roman"/>
          <w:sz w:val="28"/>
          <w:szCs w:val="28"/>
        </w:rPr>
        <w:t xml:space="preserve">При расчете результата предоставления субсидии учитываются оказанные субъектам малого и среднего предпринимательства услуги в соответствии с пункт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2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и срок его достижения устанавливаются соглашением о предоставлении субсидии (далее – соглашение).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6" w:name="_Hlk168312121"/>
      <w:r>
        <w:rPr>
          <w:rFonts w:ascii="Times New Roman" w:hAnsi="Times New Roman" w:cs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Федерации.</w:t>
      </w:r>
      <w:bookmarkEnd w:id="5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Отбор получателя субсидии (далее -</w:t>
      </w:r>
      <w:r>
        <w:rPr>
          <w:rFonts w:ascii="Times New Roman" w:hAnsi="Times New Roman" w:cs="Times New Roman"/>
          <w:sz w:val="28"/>
          <w:szCs w:val="28"/>
        </w:rPr>
        <w:t xml:space="preserve"> отбор) проводится Министерством посредством запроса предложений (заявок), направленных участниками отбора для участия в отборе (далее – заявка), исходя из соответствия участника отбора критериям отбора и очередности поступления заявок на участие в отборе.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7" w:name="sub_103"/>
      <w:r/>
      <w:bookmarkStart w:id="8" w:name="_Hlk168312161"/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Отбор осуществляется в государственной интегрированной информационной </w:t>
      </w:r>
      <w:r>
        <w:rPr>
          <w:rFonts w:ascii="Times New Roman" w:hAnsi="Times New Roman" w:cs="Times New Roman"/>
          <w:sz w:val="28"/>
          <w:szCs w:val="28"/>
        </w:rPr>
        <w:t xml:space="preserve">системе управления общественными финансами «Электронный бюджет» (далее – система «Электронный бюджет»)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9" w:name="_Hlk168315235"/>
      <w:r>
        <w:rPr>
          <w:rFonts w:ascii="Times New Roman" w:hAnsi="Times New Roman" w:cs="Times New Roman"/>
          <w:sz w:val="28"/>
          <w:szCs w:val="28"/>
        </w:rPr>
        <w:t xml:space="preserve">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0" w:name="_Hlk168312194"/>
      <w:r/>
      <w:bookmarkEnd w:id="8"/>
      <w:r>
        <w:rPr>
          <w:rFonts w:ascii="Times New Roman" w:hAnsi="Times New Roman" w:cs="Times New Roman"/>
          <w:sz w:val="28"/>
          <w:szCs w:val="28"/>
        </w:rPr>
        <w:t xml:space="preserve">Доступ участников отбора к системе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bookmarkEnd w:id="9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Участник отбора должен соответствовать следующим критериям отбора:</w:t>
      </w:r>
      <w:bookmarkEnd w:id="10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 в установленном з</w:t>
      </w:r>
      <w:r>
        <w:rPr>
          <w:rFonts w:ascii="Times New Roman" w:hAnsi="Times New Roman" w:cs="Times New Roman"/>
          <w:sz w:val="28"/>
          <w:szCs w:val="28"/>
        </w:rPr>
        <w:t xml:space="preserve">аконодательством Российской Федерации порядке в качестве некоммерческой организации (за исключением государственных (муниципальных) учреждений), осуществляет деятельность на территории Республики Татарстан и уплачивает налоги в бюджет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 в единый реестр организаций, образующих инфраструктуру поддержки субъектов малого и среднего предпринимательс</w:t>
      </w:r>
      <w:r>
        <w:rPr>
          <w:rFonts w:ascii="Times New Roman" w:hAnsi="Times New Roman" w:cs="Times New Roman"/>
          <w:sz w:val="28"/>
          <w:szCs w:val="28"/>
        </w:rPr>
        <w:t xml:space="preserve">тва в соответствии со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24 июля 2007 года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Участник отбора по состоянию на даты рассмотрения заявки и заключения соглашения должен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</w:t>
      </w:r>
      <w:r>
        <w:rPr>
          <w:rFonts w:ascii="Times New Roman" w:hAnsi="Times New Roman" w:cs="Times New Roman"/>
          <w:sz w:val="28"/>
          <w:szCs w:val="28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8"/>
          <w:szCs w:val="28"/>
        </w:rPr>
        <w:t xml:space="preserve"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цель, указанную в пункте 1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1" w:name="sub_104305"/>
      <w:r/>
      <w:bookmarkStart w:id="12" w:name="sub_144"/>
      <w:r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bookmarkEnd w:id="11"/>
      <w:bookmarkEnd w:id="12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bookmarkStart w:id="13" w:name="sub_105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4" w:name="_Hlk168312230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Объявление о проведении отбора формируется в электронной форме посредством заполнения Министерством соответствующих экранных форм веб-интерфе</w:t>
      </w:r>
      <w:r>
        <w:rPr>
          <w:rFonts w:ascii="Times New Roman" w:hAnsi="Times New Roman" w:cs="Times New Roman"/>
          <w:sz w:val="28"/>
          <w:szCs w:val="28"/>
        </w:rPr>
        <w:t xml:space="preserve">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 за один день до начала приема заявок и включает в себя следующую информацию:</w:t>
      </w:r>
      <w:bookmarkEnd w:id="13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Министерства;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доменное имя и (или) указатели страниц государственной информационной системы, обеспечивающей проведение отбора, в информационно-телекоммуникационной сети «Интернет» (далее – государственная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и к перечню документов, представляемых для подтверждения их соответствия указанным требованиям;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отбора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подачи заявок и требования, предъявляемые к форме и содержанию заявок в соответствии с пунктами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-1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определяющего в том числе основания для возврата заявок, порядок внесения изменений в заявки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рассмотрения заявок в соответствии с пунктами 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–2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возврата заявок на доработку;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отбора, порядок расчета размера субсид</w:t>
      </w:r>
      <w:r>
        <w:rPr>
          <w:rFonts w:ascii="Times New Roman" w:hAnsi="Times New Roman" w:cs="Times New Roman"/>
          <w:sz w:val="28"/>
          <w:szCs w:val="28"/>
        </w:rPr>
        <w:t xml:space="preserve">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разъяснений положений объявления о проведении отбора, даты начала и окончания срока такого предоставления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отбора должен подписать соглашение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</w:t>
      </w:r>
      <w:r>
        <w:rPr>
          <w:rFonts w:ascii="Times New Roman" w:hAnsi="Times New Roman" w:cs="Times New Roman"/>
          <w:sz w:val="28"/>
          <w:szCs w:val="28"/>
        </w:rPr>
        <w:t xml:space="preserve">азмещения протокола подведения итогов отбора на едином портале и на официальном сайте Министерства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</w:t>
      </w:r>
      <w:r>
        <w:rPr>
          <w:rFonts w:ascii="Times New Roman" w:hAnsi="Times New Roman" w:cs="Times New Roman"/>
          <w:sz w:val="28"/>
          <w:szCs w:val="28"/>
        </w:rPr>
        <w:t xml:space="preserve">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приема заявок с соблюдением следующих условий: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изменений в объявление о проведении отбора изменение способа отбора не допускается;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абзацем вторым пункта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 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Размещение Министерством объявления об отмене проведения отбора на </w:t>
      </w:r>
      <w:r>
        <w:rPr>
          <w:rFonts w:ascii="Times New Roman" w:hAnsi="Times New Roman" w:cs="Times New Roman"/>
          <w:sz w:val="28"/>
          <w:szCs w:val="28"/>
        </w:rPr>
        <w:t xml:space="preserve">едином портале допускается не позднее чем за один рабочий день до даты окончания срока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</w:t>
      </w:r>
      <w:r>
        <w:rPr>
          <w:rFonts w:ascii="Times New Roman" w:hAnsi="Times New Roman" w:cs="Times New Roman"/>
          <w:sz w:val="28"/>
          <w:szCs w:val="28"/>
        </w:rPr>
        <w:t xml:space="preserve">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  <w:r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Случаем отмены отбора является отзыв лимитов бюджетных обязательств, доведенных на цель, указанную в пункте 1 настоящего Порядка.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5" w:name="sub_106"/>
      <w:r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участники отбора в сроки, указанные в объявлении о проведении отбора, формируют и подают заявки в электронной форме посредством заполнения соответствующих экранных форм веб-интерфейса системы «Электрон-</w:t>
      </w:r>
      <w:r>
        <w:rPr>
          <w:rFonts w:ascii="Times New Roman" w:hAnsi="Times New Roman" w:cs="Times New Roman"/>
          <w:sz w:val="28"/>
          <w:szCs w:val="28"/>
        </w:rPr>
        <w:t xml:space="preserve">ный</w:t>
      </w:r>
      <w:r>
        <w:rPr>
          <w:rFonts w:ascii="Times New Roman" w:hAnsi="Times New Roman" w:cs="Times New Roman"/>
          <w:sz w:val="28"/>
          <w:szCs w:val="28"/>
        </w:rPr>
        <w:t xml:space="preserve"> бюджет» и представляют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учредительных документов, заверенные печатью (в случае ее наличия) и подписью руководителя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руководителем участника отбора сметы расходов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с приложением финансово-экономического обоснования, содержащего калькуляцию планируемых направлений расходов с указанием информации, о</w:t>
      </w:r>
      <w:r>
        <w:rPr>
          <w:rFonts w:ascii="Times New Roman" w:hAnsi="Times New Roman" w:cs="Times New Roman"/>
          <w:sz w:val="28"/>
          <w:szCs w:val="28"/>
        </w:rPr>
        <w:t xml:space="preserve">босновывающей их размер, а также источника ее получения (счета, заключенные договоры, коммерческие предложения поставщиков товаров и услуг, штатное расписание, локальные нормативные акты, информация о ценах изготовителя, об уровне цен, имеющихся у 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«Интернет») – при подаче заявки на финансовое обеспечение затрат;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документов, подтверждающих фактически произведенные затраты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 (смета затрат, договоры и приложения к ним, платежные документы (платежные поручения, приходные и расходные ордера), шта</w:t>
      </w:r>
      <w:r>
        <w:rPr>
          <w:rFonts w:ascii="Times New Roman" w:hAnsi="Times New Roman" w:cs="Times New Roman"/>
          <w:sz w:val="28"/>
          <w:szCs w:val="28"/>
        </w:rPr>
        <w:t xml:space="preserve">тное расписание, локальные нормативные акты, ведомости начислений заработной платы, авансовые отчеты, счета, универсальные передаточные документы, счета-фактуры, акты выполненных работ (оказанных услуг), накладные) – при подаче заявки на возмещение затрат.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Заявка должна содержать следующие сведения: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информация об участнике отбора: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государственной регистрации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руководителе участника отбора (фамилия, имя, отчество (при наличии);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информация и документы, подтверждающие соответствие участника отбора установленным в объявлении о проведении отбора требованиям;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подтверждение согласия на публикацию (размещение) в информационно-телекоммуникационной сети «Интернет» информации об участнике отбора, о подаваемо</w:t>
      </w:r>
      <w:r>
        <w:rPr>
          <w:rFonts w:ascii="Times New Roman" w:hAnsi="Times New Roman" w:cs="Times New Roman"/>
          <w:sz w:val="28"/>
          <w:szCs w:val="28"/>
        </w:rPr>
        <w:t xml:space="preserve">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предлагаемые участником отбора значения результата предоставления субсидии, размер запрашиваемой субсидии (с финансово-экономическим обоснованием).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подписываются усиленной квалифицированной электронной подписью руководителя участника отбора или уполномоченного им лица.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участником отбора в порядке, аналогичном порядку формирования заявки, указанному в пункте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Участники отбора со дня размещения объявления о проведении отбора на едином портале и не позднее третьего рабочего дня до даты окончания срока приема заявок вправе направить в Министерство запрос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о разъяснении положений объявления о проведении отбора путем формирования в системе «Электронный бюджет» соответствующих запросов.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объявлением о проведении отбора, но не позднее одного рабочего дня до даты окончания срока при</w:t>
      </w:r>
      <w:r>
        <w:rPr>
          <w:rFonts w:ascii="Times New Roman" w:hAnsi="Times New Roman" w:cs="Times New Roman"/>
          <w:sz w:val="28"/>
          <w:szCs w:val="28"/>
        </w:rPr>
        <w:t xml:space="preserve">ема заявок путем формирования в системе «Элек-тронный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«Электронный бюджет»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абзацем вторым настоящего пункта, предоставляется всем участникам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Датой представления заявки считается день подписания участником отбора заявки с присвоением ей регистрационного номера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Не позднее одного рабочего дня, следующего за днем окончания срока подачи заявок, установленного в объявлении о проведении отбора, Министерству открывается доступ в системе «Электронный бюджет» к поданным участниками отбора заявкам для их рассмотрения.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</w:t>
      </w:r>
      <w:bookmarkStart w:id="16" w:name="_Hlk168312616"/>
      <w:r>
        <w:rPr>
          <w:rFonts w:ascii="Times New Roman" w:hAnsi="Times New Roman" w:cs="Times New Roman"/>
          <w:sz w:val="28"/>
          <w:szCs w:val="28"/>
        </w:rPr>
        <w:t xml:space="preserve">к поданным участниками отбора заявкам для их рассмотрения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15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поступления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запрашиваемый участником отбора размер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</w:t>
      </w:r>
      <w:r>
        <w:rPr>
          <w:rFonts w:ascii="Times New Roman" w:hAnsi="Times New Roman" w:cs="Times New Roman"/>
          <w:sz w:val="28"/>
          <w:szCs w:val="28"/>
        </w:rPr>
        <w:t xml:space="preserve">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Заявка и документы рассматриваются Министерством в течение пяти рабочих дней со дня окончания срока приема заявок на предмет их соответствия требованиям, предусмотренным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определенным в пункте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вправе требовать предоставление документов, подтверждающих соответствие участника отбора требованиям, определенным пунктом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определенным в пункте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На стадии рассмотрения заявки основаниями для отклонения заявки являются: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критериям,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пунктом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и (или) заявки требованиям, установленным в объявлении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в составе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Поступившие заявки ранжируются исходя из очередности их поступления.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определяет победителя (победителей) отбора исходя из соответствия требованиям отбора и результатам ранжирования поступивших заявок в пределах объема распределяемой субсидии, указанного в объявлении о проведении отбора.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определения победителя (победителей) </w:t>
      </w:r>
      <w:r>
        <w:rPr>
          <w:rFonts w:ascii="Times New Roman" w:hAnsi="Times New Roman" w:cs="Times New Roman"/>
          <w:sz w:val="28"/>
          <w:szCs w:val="28"/>
        </w:rPr>
        <w:t xml:space="preserve">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руководителя Министерства (уполномоченного им лица) в системе «Электронный бюджет» и размещается на</w:t>
      </w:r>
      <w:r>
        <w:rPr>
          <w:rFonts w:ascii="Times New Roman" w:hAnsi="Times New Roman" w:cs="Times New Roman"/>
          <w:sz w:val="28"/>
          <w:szCs w:val="28"/>
        </w:rPr>
        <w:t xml:space="preserve"> едином портале не позднее одного рабочего дня, следующего за днем его подписания, и на официальном сайте Министерства в информационно-телекоммуникационной сети «Интернет» не позднее 14-го календарного дня, следующего за днем определения победителя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протокол подведения итогов отбора включаются следующие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рассмотрения заявок;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рассмотрены;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указанные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(получателей) субсидии, с которым заключается соглашение, и размер предоставляемой ему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</w:t>
      </w:r>
      <w:r>
        <w:rPr>
          <w:rFonts w:ascii="Times New Roman" w:hAnsi="Times New Roman" w:cs="Times New Roman"/>
          <w:sz w:val="28"/>
          <w:szCs w:val="28"/>
        </w:rPr>
        <w:t xml:space="preserve">в порядке, аналогичном порядку его формирования, установленному настоящим пунктом, с указанием причин внесения таких изменений.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Отбор признается несостоявшимся в следующих случаях: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срока подачи заявок не подано ни одной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отклонены все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в тр</w:t>
      </w:r>
      <w:r>
        <w:rPr>
          <w:rFonts w:ascii="Times New Roman" w:hAnsi="Times New Roman" w:cs="Times New Roman"/>
          <w:sz w:val="28"/>
          <w:szCs w:val="28"/>
        </w:rPr>
        <w:t xml:space="preserve">ехдневный срок, исчисляемый в рабочих днях, со дня размещения в системе «Электронный бюджет» протокола подведения итогов отбора принимает решение о предоставлении субсидии, которое оформляется приказом Министерства, или об отказе в предоставлении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субсидии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субсидии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на основании соглашения, заключаемого между Министерством и победителем отбора в пятидневный срок, исчисляемый в рабочих днях, со дня принятия решения о предоставлении субсидии в соответствии с ти</w:t>
      </w:r>
      <w:r>
        <w:rPr>
          <w:rFonts w:ascii="Times New Roman" w:hAnsi="Times New Roman" w:cs="Times New Roman"/>
          <w:sz w:val="28"/>
          <w:szCs w:val="28"/>
        </w:rPr>
        <w:t xml:space="preserve">повой формой, утвержденной Министерством финансов Республики Татарстан,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победителем отбора не произведено подписание соглашения в срок, указанный в абзаце первом настоящего пункта, он считается уклонившимся от заключения соглашения.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соглашении предусматривается условие о согласовании новых условий </w:t>
      </w:r>
      <w:r>
        <w:rPr>
          <w:rFonts w:ascii="Times New Roman" w:hAnsi="Times New Roman" w:cs="Times New Roman"/>
          <w:sz w:val="28"/>
          <w:szCs w:val="28"/>
        </w:rPr>
        <w:t xml:space="preserve">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 </w:t>
      </w:r>
      <w:bookmarkEnd w:id="16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Получателю субсидии, а также иным юридическим лицам, получающим средства на основании договоров</w:t>
      </w:r>
      <w:r>
        <w:rPr>
          <w:rFonts w:ascii="Times New Roman" w:hAnsi="Times New Roman" w:cs="Times New Roman"/>
          <w:sz w:val="28"/>
          <w:szCs w:val="28"/>
        </w:rPr>
        <w:t xml:space="preserve"> (соглашений)</w:t>
      </w:r>
      <w:r>
        <w:rPr>
          <w:rFonts w:ascii="Times New Roman" w:hAnsi="Times New Roman" w:cs="Times New Roman"/>
          <w:sz w:val="28"/>
          <w:szCs w:val="28"/>
        </w:rPr>
        <w:t xml:space="preserve">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</w:t>
      </w:r>
      <w:r>
        <w:rPr>
          <w:rFonts w:ascii="Times New Roman" w:hAnsi="Times New Roman" w:cs="Times New Roman"/>
          <w:sz w:val="28"/>
          <w:szCs w:val="28"/>
        </w:rPr>
        <w:t xml:space="preserve">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(при предоставлении субсидии на финансовое обеспечение затрат).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субсидии, лица, получающие средства на основании заключенных с получателем субсидии договоров</w:t>
      </w:r>
      <w:r>
        <w:rPr>
          <w:rFonts w:ascii="Times New Roman" w:hAnsi="Times New Roman" w:cs="Times New Roman"/>
          <w:sz w:val="28"/>
          <w:szCs w:val="28"/>
        </w:rPr>
        <w:t xml:space="preserve"> (соглашений)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выражают согласие на осуществление Министерством в </w:t>
      </w:r>
      <w:r>
        <w:rPr>
          <w:rFonts w:ascii="Times New Roman" w:hAnsi="Times New Roman" w:cs="Times New Roman"/>
          <w:sz w:val="28"/>
          <w:szCs w:val="28"/>
        </w:rPr>
        <w:t xml:space="preserve">отношении них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 (при предоставлении субсидии на финансовое обеспечение затрат).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</w:t>
      </w:r>
      <w:r>
        <w:rPr>
          <w:rFonts w:ascii="Times New Roman" w:hAnsi="Times New Roman" w:cs="Times New Roman"/>
          <w:sz w:val="28"/>
          <w:szCs w:val="28"/>
        </w:rPr>
        <w:t xml:space="preserve">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заклю</w:t>
      </w:r>
      <w:r>
        <w:rPr>
          <w:rFonts w:ascii="Times New Roman" w:hAnsi="Times New Roman" w:cs="Times New Roman"/>
          <w:sz w:val="28"/>
          <w:szCs w:val="28"/>
        </w:rPr>
        <w:t xml:space="preserve">чения дополнительного соглашения являются уточнение, дополнение или изменение условий соглашения, а также положения, указанные в шестом абзаце настоящего пункта, в первом абзаце пункта 28 настоящего Порядка, в четвертом абзаце пункта 34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При реорганизации получателя субсидии в форме слияния, присоединения или преобразования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 в пятидневный срок, исчисляемый в рабочих днях, уведомляет Министерство о завершении процедуры реорганизации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в соглашение вносятся изменения путем заключения </w:t>
      </w:r>
      <w:r>
        <w:rPr>
          <w:rFonts w:ascii="Times New Roman" w:hAnsi="Times New Roman" w:cs="Times New Roman"/>
          <w:sz w:val="28"/>
          <w:szCs w:val="28"/>
        </w:rPr>
        <w:t xml:space="preserve">в течение 30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перечисляет субсидию на расчет</w:t>
      </w:r>
      <w:r>
        <w:rPr>
          <w:rFonts w:ascii="Times New Roman" w:hAnsi="Times New Roman" w:cs="Times New Roman"/>
          <w:sz w:val="28"/>
          <w:szCs w:val="28"/>
        </w:rPr>
        <w:t xml:space="preserve">ные или корреспондентские счета, открытые получателем субсидии в учреждениях Центрального банка Российской Федерации или кредитных организациях, в 10-дневный срок, исчисляемый в рабочих днях, со дня принятия Министерством решения о предоставлении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ведет раздельный бухгалтерский учет поступления и расходования денежных средств.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Получатель субсидии ежеквартально, не позднее 10-го рабочего дня, следующего за отчетным кварталом, представляет в Министерство отчет об осуществлении расходов, </w:t>
      </w:r>
      <w:r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является субсидия, и отчет о достижении значения результата предоставления субсидии, составленные по формам, прилагаемым к типовым формам соглашений, установленным Министерством финансов Республики Татарстан, для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вида субсидий.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осуществляет проверку представленных получателем субсидии отчетов, предусмотренных пунктом 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 решение о принятии или отклонении отчетов не позднее 25 рабочих дней с даты их получения.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отклонения отчетов: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отчеты не в полном объеме содержат сведения, предусмотренные для их представления типовыми формами отчетов, и (или) такие сведения представлены в отчете не в полном объеме;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в отчете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несет ответственность в соответствии с законодательством Российской Федерации за недостоверность представляемых сведений и нецелевое использование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или установления факта предоставления получателем субсидии не</w:t>
      </w:r>
      <w:r>
        <w:rPr>
          <w:rFonts w:ascii="Times New Roman" w:hAnsi="Times New Roman" w:cs="Times New Roman"/>
          <w:sz w:val="28"/>
          <w:szCs w:val="28"/>
        </w:rPr>
        <w:t xml:space="preserve">достоверной информации, содержащейся в представленных документах, выявленных в том числе по фактам проведенных Министерством и органами государственного финансового контроля проверок, субсидия подлежит возврату в бюджет Республики Татарстан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значений результата предоставления субсидии, установленных соглашением, субсидия подлежит возврату в бюджет Республики Татарстан в полном объеме.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субсидии в бюджет Республики Татарстан посредством направления получателю субсидии в срок, не превышающий 30 календарных дней со дня обнаруж</w:t>
      </w:r>
      <w:r>
        <w:rPr>
          <w:rFonts w:ascii="Times New Roman" w:hAnsi="Times New Roman" w:cs="Times New Roman"/>
          <w:sz w:val="28"/>
          <w:szCs w:val="28"/>
        </w:rPr>
        <w:t xml:space="preserve">ения обстоятельств, являющихся в соответствии с абзацами первым и вторым настоящего пункта основаниями для возврата субсидии в бюджет Республики Татарстан, требования о возврате субсидии в течение 10 календарных дней со дня получения указанного требования.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Остатки средств субсидии на финансовое об</w:t>
      </w:r>
      <w:r>
        <w:rPr>
          <w:rFonts w:ascii="Times New Roman" w:hAnsi="Times New Roman" w:cs="Times New Roman"/>
          <w:sz w:val="28"/>
          <w:szCs w:val="28"/>
        </w:rPr>
        <w:t xml:space="preserve">еспечение затрат, не использованные по состоянию на 31 декабря текущего года, подлежат возврату получателем субсидии в доход бюджета Республики Татарстан до 1 февраля года, следующего за годом предоставления субсидии, в порядке, установленном соглашением.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потребности в напр</w:t>
      </w:r>
      <w:r>
        <w:rPr>
          <w:rFonts w:ascii="Times New Roman" w:hAnsi="Times New Roman" w:cs="Times New Roman"/>
          <w:sz w:val="28"/>
          <w:szCs w:val="28"/>
        </w:rPr>
        <w:t xml:space="preserve">авлении средств, не использованных в отчетном финансовом году, на цели, указанные в пункте 1 настоящего Порядка, получатель субсидии представляет в Министерство не позднее 20 января года, следующего за отчетным, информацию с обоснованием такой потребности.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 от получателя субсидии информации, указанной в абза</w:t>
      </w:r>
      <w:r>
        <w:rPr>
          <w:rFonts w:ascii="Times New Roman" w:hAnsi="Times New Roman" w:cs="Times New Roman"/>
          <w:sz w:val="28"/>
          <w:szCs w:val="28"/>
        </w:rPr>
        <w:t xml:space="preserve">це втором настоящего пункта, принимает в 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субсидии, не использованного в отчетном финансовом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 наличии потребности получателя субсидии в направлении в текущем финансовом году остатка субсидии, не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использованного в отчетном финансовом году, между Министерством и получателем субсидии заключается дополнительное соглашение к соглашению в пятидневный срок, исчисляемый в рабочих днях, со дня принятия такого решения.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В случаях нарушения сроков возврата субсидии, остатков субсидии, указанных в пунктах 3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и 3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Порядка, Министерство в 30-дневный срок, исчисляемый в рабочих днях, со дня истечения срока возврата субсидии, остатков субсидии принимает меры по взысканию указанных средств в принудительном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установленных настоящим Порядком и соглашением.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</w:t>
      </w:r>
      <w:r>
        <w:rPr>
          <w:rFonts w:ascii="Times New Roman" w:hAnsi="Times New Roman" w:cs="Times New Roman"/>
          <w:sz w:val="28"/>
          <w:szCs w:val="28"/>
        </w:rPr>
        <w:t xml:space="preserve">олучению результата предоставления субсидии (контрольная точка), проводится Министерством в порядке и по формам, определенным в соответствии с установленным Министерством финансов Российской Федерации порядком проведения мониторинга достижения результатов.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эффективным использованием субсидии осуществляется Министерством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на финансовое обеспечение (возмещение) затрат, связанных с комплексным сопровождением и поддержкой проектов развития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предпринимательства, а также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промышленных (индустриальных)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парков, бизнес-парков, агропромышленных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парков, промышленных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, оказываемые субъектам малого и среднего предпринимательства, в целях поддержки проектов развития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предпринимательства, а также промышленных (индустриальных)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парков, бизнес-парков, агропромышленных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07"/>
        <w:tblW w:w="0" w:type="auto"/>
        <w:tblLook w:val="04A0" w:firstRow="1" w:lastRow="0" w:firstColumn="1" w:lastColumn="0" w:noHBand="0" w:noVBand="1"/>
      </w:tblPr>
      <w:tblGrid>
        <w:gridCol w:w="704"/>
        <w:gridCol w:w="9356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сторонних экспертов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слуги по проведению экспресс-оценки индекса технологической готовности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слуги по оценке потенциала импортозамещения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проведению аудитов и экспертиз (включая финансовые, управленческие, технические, финансово-технические, технологические, энергетические, экологические и другие виды аудитов и экспертиз)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 включая проведение маркетинговых исследований, услуги по брендированию, позиционирован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 и продвижению новых видов продукции (товаров, услуг) на российском и международном рынках (включая создание и модернизацию сайтов, разработку и изготовление видеороликов и полиграфической продукции, продвижение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комплексное сопровождение процедуры участия в закупках, приобретение неисключительных прав использования программных продуктов, в том числе предоставляющих доступ к электронно-информационным системам)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составлению бизнес-планов, технико-экономических обоснований, инвестиционных меморандумов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защите прав на результаты интеллектуальной деятельности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приравненные к ним средства индивидуализации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ридических лиц, товаров, работ, услуг (включая проведение патентных исследований, патентного поиска, подготовку и подачу заявок на регистрацию прав на результаты интеллектуальной деятельности (патенты и товарные знаки) на российском и международных рынках)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проведению сертификации (в том числе системы менеджмента качества), декларирования, лицензирования и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проведению исследований, испытаний, в том числе лабораторных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разработке программ модернизации, развития, технического перевооружения производства, повышения производительности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экспертному сопровождению реализации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рамм развития, модернизации, технического перевооружения производства, инвестиционных проектов, программ коммерциализации, импортозамещения, реализации антикризисных мероприятий, мероприятий по повышению производительности труда и цифровизации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разработке и (или) внедрению технических решений (проектов, планов), в том числе по цифровизации производственных процессов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Инженерно-консультационные, опытно-конструкторские, испытательные, инженерно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-исследовательские и расчетно-аналитические услуги, в том числе по разработке и испытаниям опытных серий новых продуктов, услуги по проектно-конструкторской деятельности, в том числе по разработке конструкторской, технической и технологической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участия субъектов малого и среднего предпри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нимательства в российских и зарубежных выставочно-ярмарочных мероприятиях, региональных, межрегиональных, общероссийских и международных коммуникационных мероприятиях, форумах, конференциях (включая аренду выставочных площадей и оборудования, в том числе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еоборудованных площадей, оборудованных площадей, оборудованных стандартным стендом площадей, оплату организационного, регистрационного взносов (сборов), наценки за обзорность или за угловой стенд, организационные расходы, застройку стенда, выставочной эксп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озиции, помещений, в том числе монтаж и демонтаж стенда, выставочной экспозиции, помещений, оплату декорационно-технического оформления стенда, выставочной экспозиции, помещений, переводы презентационных материалов, транспортные услуги, услуги переводчика)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организации участия субъектов малого и среднего предпринимательства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еминарах, стратегических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сессиях, круглых столах, вебинарах, тренингах, иных коммуникационных мероприятиях, проводимых участником отбора, в том числе организация и проведение семинаров, стратегических сессий, круглых столов, вебинаров, тренингов, иных коммуникационных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включая аренду помещений и оборудования, организацию питания, транспортные услуги,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переводчика, привлечение на платной основе спикеров и экспертов, организационные расходы, приобретение расходных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риалов, в том числе раздаточных, изготовление полиграфической, сувенирной, рекламной и информационно-аналитической продукции, изготовление и установку средств навигации, табличек, вывесок, баннеров и стендов, включая расходы на разработку дизайна, макетов)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организации участия субъектов малого и среднего предпринимательства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форумах, проводимых участником отбор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(в том числе организация и проведение форумов, включая аренду помещений и оборудования, организацию питания, транспортные услуги, услуги переводчика, привлечение на платной основе спикеров и экспертов, организационные расходы, приобретение расходных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риалов, в том числе раздаточных, изготовление полиграфической, сувенирной, рекламной и информационно-аналитической продукции, изготовление и установку средств навигации, табличек, вывесок, баннеров и стендов, включая расходы на разработку дизайна, макетов)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организации участия субъектов малого и среднего предпринимательства в межрегиональных или зарубежных выездных мероприятиях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(бизнес-миссиях), проводимых участником отбора (в том числе организация и проведение бизнес-миссий, включая аренду помещений и оборудования, организацию питания, транспортн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услуги, услуги переводчика, организационные расходы, приобретение расходных материалов, в том числе раздаточных, изготовление полиграфической, сувенирной, рекламной и информационно-аналитической продукции, включая расходы на разработку дизайна, макетов)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подготовке, переподготовке и повышению квалификации кадров субъектов малого и среднего предпринимательства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 утверждении Порядка предоставления субсидий из бюджета Республики Татарстан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а также про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«Об утверждении Порядка пр</w:t>
      </w:r>
      <w:r>
        <w:rPr>
          <w:rFonts w:ascii="Times New Roman" w:hAnsi="Times New Roman"/>
          <w:sz w:val="28"/>
          <w:szCs w:val="28"/>
        </w:rPr>
        <w:t xml:space="preserve">едоставления субсидий из бюджета Республики Татарстан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а также промышленных (индустриальных</w:t>
      </w:r>
      <w:r>
        <w:rPr>
          <w:rFonts w:ascii="Times New Roman" w:hAnsi="Times New Roman"/>
          <w:sz w:val="28"/>
          <w:szCs w:val="28"/>
        </w:rPr>
        <w:t xml:space="preserve">) парков, бизнес-парков, агропромышленных парков, промышленных технопарков и технопарков в сфере высоких технологий, особых экономических зон» разработан в соответствии с поручением Раиса Республики Татарстан Р.Н.Минниханова № 27555-МР от 09.06.2025 и опре</w:t>
      </w:r>
      <w:r>
        <w:rPr>
          <w:rFonts w:ascii="Times New Roman" w:hAnsi="Times New Roman"/>
          <w:sz w:val="28"/>
          <w:szCs w:val="28"/>
        </w:rPr>
        <w:t xml:space="preserve">деляет цели, условия и механизм предоставления субсидий из бюджета Республики Татарстан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а </w:t>
      </w:r>
      <w:r>
        <w:rPr>
          <w:rFonts w:ascii="Times New Roman" w:hAnsi="Times New Roman"/>
          <w:sz w:val="28"/>
          <w:szCs w:val="28"/>
        </w:rPr>
        <w:t xml:space="preserve">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 в рамках реализации регионального проекта «Поддержка субъектов малого и среднего</w:t>
      </w:r>
      <w:r>
        <w:rPr>
          <w:rFonts w:ascii="Times New Roman" w:hAnsi="Times New Roman"/>
          <w:sz w:val="28"/>
          <w:szCs w:val="28"/>
        </w:rPr>
        <w:t xml:space="preserve"> предпринимательства в Республике Татарстан» 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</w:t>
      </w:r>
      <w:r>
        <w:rPr>
          <w:rFonts w:ascii="Times New Roman" w:hAnsi="Times New Roman"/>
          <w:sz w:val="28"/>
          <w:szCs w:val="28"/>
        </w:rPr>
        <w:t xml:space="preserve"> утверждении государственной программы Республики Татарстан «Экономическое развитие и инновационная экономика Республики Татарстан».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В связи с тем, что получателями субсидии являются некоммерческие организации, проведение процедуры оценки регулирующего воз</w:t>
      </w:r>
      <w:r>
        <w:rPr>
          <w:rFonts w:ascii="Times New Roman" w:hAnsi="Times New Roman"/>
          <w:sz w:val="28"/>
          <w:szCs w:val="28"/>
        </w:rPr>
        <w:t xml:space="preserve">действия проекта не требуется.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</w:t>
      </w:r>
      <w:hyperlink r:id="rId12" w:tooltip="http://tatarstan.ru/regulation" w:history="1">
        <w:r>
          <w:rPr>
            <w:rFonts w:ascii="Times New Roman" w:hAnsi="Times New Roman"/>
            <w:sz w:val="28"/>
            <w:szCs w:val="28"/>
          </w:rPr>
          <w:t xml:space="preserve">http://tatarstan.ru/regulation</w:t>
        </w:r>
      </w:hyperlink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Замечания, поступившие в ходе проведения экспертизы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учтены в проекте постановления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Принятие настоящего постановления Кабинета Министров Республики Татарстан не потребуе</w:t>
      </w:r>
      <w:r>
        <w:rPr>
          <w:rFonts w:ascii="Times New Roman" w:hAnsi="Times New Roman"/>
          <w:sz w:val="28"/>
          <w:szCs w:val="28"/>
        </w:rPr>
        <w:t xml:space="preserve">т выделения дополнительных финансовых средств из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40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00" w:orient="portrait"/>
      <w:pgMar w:top="1134" w:right="567" w:bottom="993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Segoe UI">
    <w:panose1 w:val="020B0502040204020203"/>
  </w:font>
  <w:font w:name="Calibri Light">
    <w:panose1 w:val="020F0302020204030204"/>
  </w:font>
  <w:font w:name="Times New Roman">
    <w:panose1 w:val="02020603050405020304"/>
  </w:font>
  <w:font w:name="Symbol">
    <w:panose1 w:val="05050102010706020507"/>
  </w:font>
  <w:font w:name="Noto Sans Devanagari">
    <w:panose1 w:val="020B0502040504020204"/>
  </w:font>
  <w:font w:name="Times New Roman CYR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9"/>
    <w:link w:val="693"/>
    <w:uiPriority w:val="10"/>
    <w:rPr>
      <w:sz w:val="48"/>
      <w:szCs w:val="48"/>
    </w:rPr>
  </w:style>
  <w:style w:type="character" w:styleId="37">
    <w:name w:val="Subtitle Char"/>
    <w:basedOn w:val="679"/>
    <w:link w:val="695"/>
    <w:uiPriority w:val="11"/>
    <w:rPr>
      <w:sz w:val="24"/>
      <w:szCs w:val="24"/>
    </w:rPr>
  </w:style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43">
    <w:name w:val="Header Char"/>
    <w:basedOn w:val="679"/>
    <w:link w:val="701"/>
    <w:uiPriority w:val="99"/>
  </w:style>
  <w:style w:type="character" w:styleId="47">
    <w:name w:val="Caption Char"/>
    <w:basedOn w:val="705"/>
    <w:link w:val="703"/>
    <w:uiPriority w:val="99"/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69" w:default="1">
    <w:name w:val="Normal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eastAsia="zh-CN"/>
    </w:rPr>
  </w:style>
  <w:style w:type="paragraph" w:styleId="670">
    <w:name w:val="Heading 1"/>
    <w:basedOn w:val="669"/>
    <w:next w:val="669"/>
    <w:link w:val="682"/>
    <w:qFormat/>
    <w:pPr>
      <w:numPr>
        <w:ilvl w:val="0"/>
        <w:numId w:val="1"/>
      </w:numPr>
      <w:jc w:val="center"/>
      <w:spacing w:before="108" w:after="108"/>
      <w:outlineLvl w:val="0"/>
    </w:pPr>
    <w:rPr>
      <w:b/>
      <w:bCs/>
      <w:color w:val="26282f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1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qFormat/>
    <w:pPr>
      <w:contextualSpacing/>
      <w:ind w:left="720"/>
    </w:pPr>
  </w:style>
  <w:style w:type="paragraph" w:styleId="692">
    <w:name w:val="No Spacing"/>
    <w:uiPriority w:val="1"/>
    <w:qFormat/>
    <w:rPr>
      <w:lang w:eastAsia="zh-CN"/>
    </w:r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 w:after="200"/>
    </w:p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702"/>
  </w:style>
  <w:style w:type="character" w:styleId="702" w:customStyle="1">
    <w:name w:val="Верхний колонтитул Знак1"/>
    <w:link w:val="701"/>
    <w:uiPriority w:val="99"/>
  </w:style>
  <w:style w:type="paragraph" w:styleId="703">
    <w:name w:val="Footer"/>
    <w:basedOn w:val="669"/>
    <w:link w:val="706"/>
  </w:style>
  <w:style w:type="character" w:styleId="704" w:customStyle="1">
    <w:name w:val="Footer Char"/>
    <w:uiPriority w:val="99"/>
  </w:style>
  <w:style w:type="paragraph" w:styleId="705">
    <w:name w:val="Caption"/>
    <w:basedOn w:val="669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character" w:styleId="706" w:customStyle="1">
    <w:name w:val="Нижний колонтитул Знак1"/>
    <w:link w:val="703"/>
    <w:uiPriority w:val="99"/>
  </w:style>
  <w:style w:type="table" w:styleId="70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3">
    <w:name w:val="Hyperlink"/>
    <w:rPr>
      <w:color w:val="0563c1"/>
      <w:u w:val="single"/>
    </w:rPr>
  </w:style>
  <w:style w:type="paragraph" w:styleId="834">
    <w:name w:val="footnote text"/>
    <w:basedOn w:val="669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69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ind w:firstLine="0"/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 w:firstLine="0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 w:firstLine="0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 w:firstLine="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 w:firstLine="0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 w:firstLine="0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 w:firstLine="0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 w:firstLine="0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 w:firstLine="0"/>
      <w:spacing w:after="57"/>
    </w:pPr>
  </w:style>
  <w:style w:type="paragraph" w:styleId="849">
    <w:name w:val="TOC Heading"/>
    <w:uiPriority w:val="39"/>
    <w:unhideWhenUsed/>
    <w:rPr>
      <w:lang w:eastAsia="zh-CN"/>
    </w:rPr>
  </w:style>
  <w:style w:type="paragraph" w:styleId="850">
    <w:name w:val="table of figures"/>
    <w:basedOn w:val="669"/>
    <w:next w:val="669"/>
    <w:uiPriority w:val="99"/>
    <w:unhideWhenUsed/>
  </w:style>
  <w:style w:type="character" w:styleId="851" w:customStyle="1">
    <w:name w:val="WW8Num1z0"/>
  </w:style>
  <w:style w:type="character" w:styleId="852" w:customStyle="1">
    <w:name w:val="WW8Num2z0"/>
    <w:rPr>
      <w:color w:val="000000"/>
    </w:rPr>
  </w:style>
  <w:style w:type="character" w:styleId="853" w:customStyle="1">
    <w:name w:val="WW8Num3z0"/>
    <w:rPr>
      <w:rFonts w:ascii="Symbol" w:hAnsi="Symbol" w:cs="Symbol"/>
    </w:rPr>
  </w:style>
  <w:style w:type="character" w:styleId="854" w:customStyle="1">
    <w:name w:val="WW8Num3z1"/>
    <w:rPr>
      <w:rFonts w:cs="Times New Roman"/>
    </w:rPr>
  </w:style>
  <w:style w:type="character" w:styleId="855" w:customStyle="1">
    <w:name w:val="Основной шрифт абзаца1"/>
  </w:style>
  <w:style w:type="character" w:styleId="856" w:customStyle="1">
    <w:name w:val="Заголовок 1 Знак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57" w:customStyle="1">
    <w:name w:val="Цветовое выделение"/>
    <w:rPr>
      <w:b/>
      <w:color w:val="26282f"/>
    </w:rPr>
  </w:style>
  <w:style w:type="character" w:styleId="858" w:customStyle="1">
    <w:name w:val="Гипертекстовая ссылка"/>
    <w:uiPriority w:val="99"/>
    <w:rPr>
      <w:rFonts w:cs="Times New Roman"/>
      <w:b/>
      <w:color w:val="106bbe"/>
    </w:rPr>
  </w:style>
  <w:style w:type="character" w:styleId="859" w:customStyle="1">
    <w:name w:val="Цветовое выделение для Текст"/>
    <w:rPr>
      <w:rFonts w:ascii="Times New Roman CYR" w:hAnsi="Times New Roman CYR" w:cs="Times New Roman CYR"/>
    </w:rPr>
  </w:style>
  <w:style w:type="character" w:styleId="860" w:customStyle="1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styleId="861" w:customStyle="1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styleId="862" w:customStyle="1">
    <w:name w:val="Добавленный текст"/>
    <w:rPr>
      <w:color w:val="000000"/>
    </w:rPr>
  </w:style>
  <w:style w:type="character" w:styleId="863" w:customStyle="1">
    <w:name w:val="Текст выноски Знак"/>
    <w:rPr>
      <w:rFonts w:ascii="Segoe UI" w:hAnsi="Segoe UI" w:cs="Segoe UI"/>
      <w:sz w:val="18"/>
      <w:szCs w:val="18"/>
    </w:rPr>
  </w:style>
  <w:style w:type="character" w:styleId="864" w:customStyle="1">
    <w:name w:val="Знак примечания1"/>
    <w:rPr>
      <w:sz w:val="16"/>
      <w:szCs w:val="16"/>
    </w:rPr>
  </w:style>
  <w:style w:type="character" w:styleId="865" w:customStyle="1">
    <w:name w:val="Текст примечания Знак"/>
    <w:rPr>
      <w:rFonts w:ascii="Times New Roman CYR" w:hAnsi="Times New Roman CYR" w:cs="Times New Roman CYR"/>
      <w:sz w:val="20"/>
      <w:szCs w:val="20"/>
    </w:rPr>
  </w:style>
  <w:style w:type="character" w:styleId="866" w:customStyle="1">
    <w:name w:val="Тема примечания Знак"/>
    <w:rPr>
      <w:rFonts w:ascii="Times New Roman CYR" w:hAnsi="Times New Roman CYR" w:cs="Times New Roman CYR"/>
      <w:b/>
      <w:bCs/>
      <w:sz w:val="20"/>
      <w:szCs w:val="20"/>
    </w:rPr>
  </w:style>
  <w:style w:type="character" w:styleId="867">
    <w:name w:val="Placeholder Text"/>
    <w:rPr>
      <w:color w:val="808080"/>
    </w:rPr>
  </w:style>
  <w:style w:type="character" w:styleId="868" w:customStyle="1">
    <w:name w:val="dash041e_0431_044b_0447_043d_044b_0439__char"/>
    <w:basedOn w:val="855"/>
  </w:style>
  <w:style w:type="paragraph" w:styleId="869" w:customStyle="1">
    <w:name w:val="Заголовок1"/>
    <w:basedOn w:val="669"/>
    <w:next w:val="87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0">
    <w:name w:val="Body Text"/>
    <w:basedOn w:val="669"/>
    <w:pPr>
      <w:spacing w:after="140" w:line="276" w:lineRule="auto"/>
    </w:pPr>
  </w:style>
  <w:style w:type="paragraph" w:styleId="871">
    <w:name w:val="List"/>
    <w:basedOn w:val="870"/>
    <w:rPr>
      <w:rFonts w:ascii="PT Astra Serif" w:hAnsi="PT Astra Serif" w:cs="Noto Sans Devanagari"/>
    </w:rPr>
  </w:style>
  <w:style w:type="paragraph" w:styleId="872" w:customStyle="1">
    <w:name w:val="Указатель1"/>
    <w:basedOn w:val="669"/>
    <w:pPr>
      <w:suppressLineNumbers/>
    </w:pPr>
    <w:rPr>
      <w:rFonts w:ascii="PT Astra Serif" w:hAnsi="PT Astra Serif" w:cs="Noto Sans Devanagari"/>
    </w:rPr>
  </w:style>
  <w:style w:type="paragraph" w:styleId="873" w:customStyle="1">
    <w:name w:val="Текст (справка)"/>
    <w:basedOn w:val="669"/>
    <w:next w:val="669"/>
    <w:pPr>
      <w:ind w:left="170" w:right="170" w:firstLine="0"/>
      <w:jc w:val="left"/>
    </w:pPr>
  </w:style>
  <w:style w:type="paragraph" w:styleId="874" w:customStyle="1">
    <w:name w:val="Комментарий"/>
    <w:basedOn w:val="873"/>
    <w:next w:val="669"/>
    <w:pPr>
      <w:ind w:right="0"/>
      <w:jc w:val="both"/>
      <w:spacing w:before="75"/>
    </w:pPr>
    <w:rPr>
      <w:color w:val="353842"/>
    </w:rPr>
  </w:style>
  <w:style w:type="paragraph" w:styleId="875" w:customStyle="1">
    <w:name w:val="Информация о версии"/>
    <w:basedOn w:val="874"/>
    <w:next w:val="669"/>
    <w:rPr>
      <w:i/>
      <w:iCs/>
    </w:rPr>
  </w:style>
  <w:style w:type="paragraph" w:styleId="876" w:customStyle="1">
    <w:name w:val="Текст информации об изменениях"/>
    <w:basedOn w:val="669"/>
    <w:next w:val="669"/>
    <w:rPr>
      <w:color w:val="353842"/>
      <w:sz w:val="20"/>
      <w:szCs w:val="20"/>
    </w:rPr>
  </w:style>
  <w:style w:type="paragraph" w:styleId="877" w:customStyle="1">
    <w:name w:val="Информация об изменениях"/>
    <w:basedOn w:val="876"/>
    <w:next w:val="669"/>
    <w:pPr>
      <w:ind w:left="360" w:right="360" w:firstLine="0"/>
      <w:spacing w:before="180"/>
    </w:pPr>
  </w:style>
  <w:style w:type="paragraph" w:styleId="878" w:customStyle="1">
    <w:name w:val="Нормальный (таблица)"/>
    <w:basedOn w:val="669"/>
    <w:next w:val="669"/>
    <w:pPr>
      <w:ind w:firstLine="0"/>
    </w:pPr>
  </w:style>
  <w:style w:type="paragraph" w:styleId="879" w:customStyle="1">
    <w:name w:val="Таблицы (моноширинный)"/>
    <w:basedOn w:val="669"/>
    <w:next w:val="669"/>
    <w:pPr>
      <w:ind w:firstLine="0"/>
      <w:jc w:val="left"/>
    </w:pPr>
    <w:rPr>
      <w:rFonts w:ascii="Courier New" w:hAnsi="Courier New" w:cs="Courier New"/>
    </w:rPr>
  </w:style>
  <w:style w:type="paragraph" w:styleId="880" w:customStyle="1">
    <w:name w:val="Подзаголовок для информации об изменениях"/>
    <w:basedOn w:val="876"/>
    <w:next w:val="669"/>
    <w:rPr>
      <w:b/>
      <w:bCs/>
    </w:rPr>
  </w:style>
  <w:style w:type="paragraph" w:styleId="881" w:customStyle="1">
    <w:name w:val="Прижатый влево"/>
    <w:basedOn w:val="669"/>
    <w:next w:val="669"/>
    <w:pPr>
      <w:ind w:firstLine="0"/>
      <w:jc w:val="left"/>
    </w:pPr>
  </w:style>
  <w:style w:type="paragraph" w:styleId="882" w:customStyle="1">
    <w:name w:val="Колонтитул"/>
    <w:basedOn w:val="669"/>
    <w:pPr>
      <w:tabs>
        <w:tab w:val="center" w:pos="4819" w:leader="none"/>
        <w:tab w:val="right" w:pos="9638" w:leader="none"/>
      </w:tabs>
      <w:suppressLineNumbers/>
    </w:pPr>
  </w:style>
  <w:style w:type="paragraph" w:styleId="883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884">
    <w:name w:val="Balloon Text"/>
    <w:basedOn w:val="669"/>
    <w:rPr>
      <w:rFonts w:ascii="Segoe UI" w:hAnsi="Segoe UI" w:cs="Segoe UI"/>
      <w:sz w:val="18"/>
      <w:szCs w:val="18"/>
    </w:rPr>
  </w:style>
  <w:style w:type="paragraph" w:styleId="885" w:customStyle="1">
    <w:name w:val="Текст примечания1"/>
    <w:basedOn w:val="669"/>
    <w:rPr>
      <w:sz w:val="20"/>
      <w:szCs w:val="20"/>
    </w:rPr>
  </w:style>
  <w:style w:type="paragraph" w:styleId="886">
    <w:name w:val="annotation subject"/>
    <w:basedOn w:val="885"/>
    <w:next w:val="885"/>
    <w:rPr>
      <w:b/>
      <w:bCs/>
    </w:rPr>
  </w:style>
  <w:style w:type="paragraph" w:styleId="887">
    <w:name w:val="Revision"/>
    <w:rPr>
      <w:rFonts w:ascii="Times New Roman CYR" w:hAnsi="Times New Roman CYR" w:cs="Times New Roman CYR"/>
      <w:sz w:val="24"/>
      <w:szCs w:val="24"/>
      <w:lang w:eastAsia="zh-CN"/>
    </w:rPr>
  </w:style>
  <w:style w:type="paragraph" w:styleId="888">
    <w:name w:val="Normal (Web)"/>
    <w:basedOn w:val="669"/>
    <w:pPr>
      <w:ind w:firstLine="0"/>
      <w:jc w:val="left"/>
      <w:spacing w:before="100" w:after="100"/>
      <w:widowControl/>
    </w:pPr>
    <w:rPr>
      <w:rFonts w:ascii="Times New Roman" w:hAnsi="Times New Roman" w:cs="Times New Roman"/>
    </w:rPr>
  </w:style>
  <w:style w:type="paragraph" w:styleId="889" w:customStyle="1">
    <w:name w:val="Содержимое таблицы"/>
    <w:basedOn w:val="669"/>
    <w:pPr>
      <w:suppressLineNumbers/>
    </w:pPr>
  </w:style>
  <w:style w:type="paragraph" w:styleId="890" w:customStyle="1">
    <w:name w:val="Заголовок таблицы"/>
    <w:basedOn w:val="889"/>
    <w:pPr>
      <w:jc w:val="center"/>
    </w:pPr>
    <w:rPr>
      <w:b/>
      <w:bCs/>
    </w:rPr>
  </w:style>
  <w:style w:type="character" w:styleId="891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styleId="892" w:customStyle="1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styleId="893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internet.garant.ru/document/redirect/22516532/0" TargetMode="External"/><Relationship Id="rId12" Type="http://schemas.openxmlformats.org/officeDocument/2006/relationships/hyperlink" Target="http://tatarstan.ru/regula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Шайгарданова Регина Айдаровна</dc:creator>
  <cp:keywords/>
  <dc:description/>
  <cp:revision>3</cp:revision>
  <dcterms:created xsi:type="dcterms:W3CDTF">2025-07-25T11:49:00Z</dcterms:created>
  <dcterms:modified xsi:type="dcterms:W3CDTF">2025-07-25T12:46:31Z</dcterms:modified>
  <cp:version>1048576</cp:version>
</cp:coreProperties>
</file>