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pageBreakBefore w:val="false"/>
        <w:spacing w:lineRule="auto" w:line="240" w:before="0" w:after="0"/>
        <w:jc w:val="right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</w:t>
      </w:r>
    </w:p>
    <w:p>
      <w:pPr>
        <w:pStyle w:val="Normal"/>
        <w:spacing w:lineRule="auto" w:line="240" w:before="0" w:after="0"/>
        <w:ind w:left="-567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before="0" w:after="0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внесении изменений в постановление</w:t>
      </w:r>
    </w:p>
    <w:p>
      <w:pPr>
        <w:pStyle w:val="Normal"/>
        <w:spacing w:before="0" w:after="0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Исполнительного комитета от 30.10.2020 № 5733</w:t>
      </w:r>
    </w:p>
    <w:p>
      <w:pPr>
        <w:pStyle w:val="Normal"/>
        <w:spacing w:before="0" w:after="0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«Об утверждении муниципальной программы </w:t>
      </w:r>
    </w:p>
    <w:p>
      <w:pPr>
        <w:pStyle w:val="Normal"/>
        <w:spacing w:before="0" w:after="0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Профилактика безнадзорности и правонарушений </w:t>
      </w:r>
    </w:p>
    <w:p>
      <w:pPr>
        <w:pStyle w:val="Normal"/>
        <w:spacing w:before="0" w:after="0"/>
        <w:rPr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среди несовершеннолетних в муниципальном </w:t>
      </w:r>
    </w:p>
    <w:p>
      <w:pPr>
        <w:pStyle w:val="Normal"/>
        <w:spacing w:before="0" w:after="0"/>
        <w:rPr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образовании город Набережные Челны на 2021-2025 годы</w:t>
      </w:r>
      <w:r>
        <w:rPr>
          <w:rFonts w:ascii="Times New Roman" w:hAnsi="Times New Roman"/>
          <w:sz w:val="28"/>
          <w:szCs w:val="28"/>
        </w:rPr>
        <w:t>»</w:t>
      </w:r>
    </w:p>
    <w:p>
      <w:pPr>
        <w:pStyle w:val="Normal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shd w:val="clear" w:color="auto" w:fill="FFFFFF"/>
        <w:spacing w:before="0" w:after="0"/>
        <w:ind w:left="10" w:right="-1" w:firstLine="550"/>
        <w:jc w:val="both"/>
        <w:rPr>
          <w:rFonts w:ascii="Times New Roman" w:hAnsi="Times New Roman" w:eastAsia="Times New Roman"/>
          <w:lang w:eastAsia="ru-RU"/>
        </w:rPr>
      </w:pPr>
      <w:r>
        <w:rPr>
          <w:rFonts w:eastAsia="Times New Roman" w:ascii="Times New Roman" w:hAnsi="Times New Roman"/>
          <w:lang w:eastAsia="ru-RU"/>
        </w:rPr>
      </w:r>
    </w:p>
    <w:p>
      <w:pPr>
        <w:pStyle w:val="Normal"/>
        <w:widowControl w:val="false"/>
        <w:shd w:val="clear" w:color="auto" w:fill="FFFFFF"/>
        <w:spacing w:before="0" w:after="0"/>
        <w:ind w:left="10" w:right="-1" w:firstLine="550"/>
        <w:jc w:val="both"/>
        <w:rPr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статьей 41 Устава города, пунктом 5.24 Положения о системе муниципальных правовых актов, утвержденного решением Городского Совета от 21.02.2007 № 19/8, постановлением Исполнительного комитета от 11.09.2017 № 5326 «Об утверждении порядка разработки, реализации и оценки эффективности муниципальных программ»</w:t>
      </w:r>
    </w:p>
    <w:p>
      <w:pPr>
        <w:pStyle w:val="Normal"/>
        <w:widowControl w:val="false"/>
        <w:shd w:val="clear" w:color="auto" w:fill="FFFFFF"/>
        <w:spacing w:before="0" w:after="0"/>
        <w:ind w:left="10" w:right="-1" w:firstLine="550"/>
        <w:jc w:val="both"/>
        <w:rPr>
          <w:rFonts w:ascii="Times New Roman" w:hAnsi="Times New Roman" w:eastAsia="MS Mincho"/>
          <w:bCs/>
          <w:sz w:val="28"/>
          <w:szCs w:val="28"/>
          <w:lang w:eastAsia="ja-JP" w:bidi="ne-NP"/>
        </w:rPr>
      </w:pPr>
      <w:r>
        <w:rPr>
          <w:rFonts w:eastAsia="MS Mincho" w:ascii="Times New Roman" w:hAnsi="Times New Roman"/>
          <w:bCs/>
          <w:sz w:val="28"/>
          <w:szCs w:val="28"/>
          <w:lang w:eastAsia="ja-JP" w:bidi="ne-NP"/>
        </w:rPr>
      </w:r>
    </w:p>
    <w:p>
      <w:pPr>
        <w:pStyle w:val="Normal"/>
        <w:widowControl w:val="false"/>
        <w:shd w:val="clear" w:color="auto" w:fill="FFFFFF"/>
        <w:spacing w:before="0" w:after="0"/>
        <w:ind w:left="10" w:right="-1" w:firstLine="550"/>
        <w:jc w:val="both"/>
        <w:rPr>
          <w:rFonts w:ascii="Times New Roman" w:hAnsi="Times New Roman" w:eastAsia="MS Mincho"/>
          <w:bCs/>
          <w:sz w:val="28"/>
          <w:szCs w:val="28"/>
          <w:lang w:eastAsia="ja-JP" w:bidi="ne-NP"/>
        </w:rPr>
      </w:pPr>
      <w:r>
        <w:rPr>
          <w:rFonts w:eastAsia="MS Mincho" w:ascii="Times New Roman" w:hAnsi="Times New Roman"/>
          <w:bCs/>
          <w:sz w:val="28"/>
          <w:szCs w:val="28"/>
          <w:lang w:eastAsia="ja-JP" w:bidi="ne-NP"/>
        </w:rPr>
      </w:r>
    </w:p>
    <w:p>
      <w:pPr>
        <w:pStyle w:val="Normal"/>
        <w:spacing w:before="0" w:after="0"/>
        <w:jc w:val="center"/>
        <w:rPr>
          <w:sz w:val="28"/>
          <w:szCs w:val="28"/>
        </w:rPr>
      </w:pPr>
      <w:r>
        <w:rPr>
          <w:rFonts w:eastAsia="MS Mincho" w:ascii="Times New Roman" w:hAnsi="Times New Roman"/>
          <w:bCs/>
          <w:sz w:val="28"/>
          <w:szCs w:val="28"/>
          <w:lang w:eastAsia="ja-JP" w:bidi="ne-NP"/>
        </w:rPr>
        <w:t>П О С Т А Н О В Л Я Ю:</w:t>
      </w:r>
    </w:p>
    <w:p>
      <w:pPr>
        <w:pStyle w:val="Normal"/>
        <w:spacing w:before="0" w:after="0"/>
        <w:jc w:val="center"/>
        <w:rPr>
          <w:rFonts w:ascii="Times New Roman" w:hAnsi="Times New Roman" w:eastAsia="MS Mincho"/>
          <w:bCs/>
          <w:sz w:val="28"/>
          <w:szCs w:val="28"/>
          <w:lang w:eastAsia="ja-JP" w:bidi="ne-NP"/>
        </w:rPr>
      </w:pPr>
      <w:r>
        <w:rPr>
          <w:rFonts w:eastAsia="MS Mincho" w:ascii="Times New Roman" w:hAnsi="Times New Roman"/>
          <w:bCs/>
          <w:sz w:val="28"/>
          <w:szCs w:val="28"/>
          <w:lang w:eastAsia="ja-JP" w:bidi="ne-NP"/>
        </w:rPr>
      </w:r>
    </w:p>
    <w:p>
      <w:pPr>
        <w:pStyle w:val="Normal"/>
        <w:spacing w:before="0" w:after="0"/>
        <w:jc w:val="center"/>
        <w:rPr>
          <w:rFonts w:ascii="Times New Roman" w:hAnsi="Times New Roman" w:eastAsia="MS Mincho"/>
          <w:bCs/>
          <w:sz w:val="28"/>
          <w:szCs w:val="28"/>
          <w:lang w:eastAsia="ja-JP" w:bidi="ne-NP"/>
        </w:rPr>
      </w:pPr>
      <w:r>
        <w:rPr>
          <w:rFonts w:eastAsia="MS Mincho" w:ascii="Times New Roman" w:hAnsi="Times New Roman"/>
          <w:bCs/>
          <w:sz w:val="28"/>
          <w:szCs w:val="28"/>
          <w:lang w:eastAsia="ja-JP" w:bidi="ne-NP"/>
        </w:rPr>
      </w:r>
    </w:p>
    <w:p>
      <w:pPr>
        <w:pStyle w:val="ListParagraph"/>
        <w:widowControl w:val="false"/>
        <w:numPr>
          <w:ilvl w:val="0"/>
          <w:numId w:val="2"/>
        </w:numPr>
        <w:shd w:val="clear" w:color="auto" w:fill="FFFFFF"/>
        <w:spacing w:before="0" w:after="0"/>
        <w:ind w:left="0" w:right="-1" w:firstLine="709"/>
        <w:contextualSpacing/>
        <w:jc w:val="both"/>
        <w:rPr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Внести в постановление Исполнительного комитета от 30.10.2020 № 5733 «Об утверждении муниципальной программы «Профилактика безнадзорности и правонарушений среди несовершеннолетних в муниципальном образовании город Набережные Челны на 2021-2025 годы» (в редакции постановлений Исполнительного комитета от 24.09.2021 № 6260, от 01.04.2022 № 1775, от 17.04.2023 № 3053, от 12.02.2025 № 1029) следующие изменения: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851" w:leader="none"/>
        </w:tabs>
        <w:spacing w:lineRule="auto" w:line="259" w:before="0" w:after="0"/>
        <w:ind w:left="0" w:firstLine="567"/>
        <w:contextualSpacing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пункт 2 изложить в следующей редакции: </w:t>
      </w:r>
    </w:p>
    <w:p>
      <w:pPr>
        <w:pStyle w:val="ListParagraph"/>
        <w:spacing w:before="0" w:after="0"/>
        <w:ind w:left="0" w:firstLine="567"/>
        <w:contextualSpacing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«2. Управлению финансов Исполнительного комитета обеспечить финансирование мероприятий по реализации муниципальной программы «Профилактика безнадзорности и правонарушений среди несовершеннолетних в муниципальном образовании город Набережные Челны на 2021-2025 годы» за счет средств, предусмотрен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ных в бюджете города Набережные Челны по разделу (подразделу) 0113 «Другие общегосударственные вопросы», 0707 «Молодежная политика и оздоровление детей» в размере: на 2021 год – 22 028,33 тысячи рублей, 2022 год – 1003,43 тысячи рублей, 2023 год – 13714,27 тысяч рублей, 2024 год – 32426,29 тысяч рублей, 2025 год – 37915,00 тысяч рублей.»;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851" w:leader="none"/>
        </w:tabs>
        <w:spacing w:before="0" w:after="0"/>
        <w:ind w:left="0" w:firstLine="567"/>
        <w:contextualSpacing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муниципальной программе «Профилактика безнадзорности и правонарушений среди несовершеннолетних в муниципальном образовании город Набережные Челны на 2021-2025 годы»</w:t>
      </w:r>
      <w:r>
        <w:rPr>
          <w:rFonts w:eastAsia="MS Mincho" w:ascii="Times New Roman" w:hAnsi="Times New Roman"/>
          <w:bCs/>
          <w:sz w:val="28"/>
          <w:szCs w:val="28"/>
          <w:lang w:eastAsia="ja-JP" w:bidi="ne-NP"/>
        </w:rPr>
        <w:t xml:space="preserve">: </w:t>
      </w:r>
    </w:p>
    <w:p>
      <w:pPr>
        <w:pStyle w:val="Normal"/>
        <w:tabs>
          <w:tab w:val="clear" w:pos="708"/>
          <w:tab w:val="left" w:pos="851" w:leader="none"/>
        </w:tabs>
        <w:spacing w:lineRule="auto" w:line="240" w:before="0" w:after="0"/>
        <w:ind w:firstLine="567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в главе 1 строку «Объемы и источники финансирования программы с разбивкой по годам» изложить в следующей редакции:</w:t>
      </w:r>
    </w:p>
    <w:p>
      <w:pPr>
        <w:pStyle w:val="Normal"/>
        <w:tabs>
          <w:tab w:val="clear" w:pos="708"/>
          <w:tab w:val="left" w:pos="851" w:leader="none"/>
        </w:tabs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Style w:val="a8"/>
        <w:tblW w:w="10349" w:type="dxa"/>
        <w:jc w:val="left"/>
        <w:tblInd w:w="-5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844"/>
        <w:gridCol w:w="2410"/>
        <w:gridCol w:w="950"/>
        <w:gridCol w:w="842"/>
        <w:gridCol w:w="1006"/>
        <w:gridCol w:w="993"/>
        <w:gridCol w:w="984"/>
        <w:gridCol w:w="1318"/>
      </w:tblGrid>
      <w:tr>
        <w:trPr/>
        <w:tc>
          <w:tcPr>
            <w:tcW w:w="1844" w:type="dxa"/>
            <w:vMerge w:val="restart"/>
            <w:tcBorders/>
          </w:tcPr>
          <w:p>
            <w:pPr>
              <w:pStyle w:val="ConsPlusNonformat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«Объемы и источники финансирования программы с разбивкой по годам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851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8503" w:type="dxa"/>
            <w:gridSpan w:val="7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851" w:leader="none"/>
              </w:tabs>
              <w:suppressAutoHyphens w:val="true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Общий объем финансирования программы за счет средств бюджета муниципального образования город Набережные Челны составляет 107087,32 тыс. руб.</w:t>
            </w:r>
          </w:p>
        </w:tc>
      </w:tr>
      <w:tr>
        <w:trPr/>
        <w:tc>
          <w:tcPr>
            <w:tcW w:w="1844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851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410" w:type="dxa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851" w:leader="none"/>
              </w:tabs>
              <w:suppressAutoHyphens w:val="true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Источники финансирования</w:t>
            </w:r>
          </w:p>
        </w:tc>
        <w:tc>
          <w:tcPr>
            <w:tcW w:w="6093" w:type="dxa"/>
            <w:gridSpan w:val="6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851" w:leader="none"/>
              </w:tabs>
              <w:suppressAutoHyphens w:val="true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Годы реализации программы, тыс. руб.</w:t>
            </w:r>
          </w:p>
        </w:tc>
      </w:tr>
      <w:tr>
        <w:trPr/>
        <w:tc>
          <w:tcPr>
            <w:tcW w:w="1844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851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410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851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5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57" w:leader="none"/>
              </w:tabs>
              <w:suppressAutoHyphens w:val="true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2021 (тыс. руб.)</w:t>
            </w:r>
          </w:p>
        </w:tc>
        <w:tc>
          <w:tcPr>
            <w:tcW w:w="84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851" w:leader="none"/>
              </w:tabs>
              <w:suppressAutoHyphens w:val="true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2022 (тыс. руб.)</w:t>
            </w:r>
          </w:p>
        </w:tc>
        <w:tc>
          <w:tcPr>
            <w:tcW w:w="100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851" w:leader="none"/>
              </w:tabs>
              <w:suppressAutoHyphens w:val="true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2023 (тыс. руб.)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851" w:leader="none"/>
              </w:tabs>
              <w:suppressAutoHyphens w:val="true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2024 (тыс. руб.)</w:t>
            </w:r>
          </w:p>
        </w:tc>
        <w:tc>
          <w:tcPr>
            <w:tcW w:w="98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851" w:leader="none"/>
              </w:tabs>
              <w:suppressAutoHyphens w:val="true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2025 (тыс. руб.)</w:t>
            </w:r>
          </w:p>
        </w:tc>
        <w:tc>
          <w:tcPr>
            <w:tcW w:w="131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851" w:leader="none"/>
              </w:tabs>
              <w:suppressAutoHyphens w:val="true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Всего за период реализации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851" w:leader="none"/>
              </w:tabs>
              <w:suppressAutoHyphens w:val="true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(тыс. руб.)</w:t>
            </w:r>
          </w:p>
        </w:tc>
      </w:tr>
      <w:tr>
        <w:trPr/>
        <w:tc>
          <w:tcPr>
            <w:tcW w:w="1844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851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851" w:leader="none"/>
              </w:tabs>
              <w:suppressAutoHyphens w:val="true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Муниципальный бюджет</w:t>
            </w:r>
          </w:p>
        </w:tc>
        <w:tc>
          <w:tcPr>
            <w:tcW w:w="95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851" w:leader="none"/>
              </w:tabs>
              <w:suppressAutoHyphens w:val="true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22028,33</w:t>
            </w:r>
          </w:p>
        </w:tc>
        <w:tc>
          <w:tcPr>
            <w:tcW w:w="84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851" w:leader="none"/>
              </w:tabs>
              <w:suppressAutoHyphens w:val="true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1003,43</w:t>
            </w:r>
          </w:p>
        </w:tc>
        <w:tc>
          <w:tcPr>
            <w:tcW w:w="100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851" w:leader="none"/>
              </w:tabs>
              <w:suppressAutoHyphens w:val="true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13714,27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851" w:leader="none"/>
              </w:tabs>
              <w:suppressAutoHyphens w:val="true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32426,29</w:t>
            </w:r>
          </w:p>
        </w:tc>
        <w:tc>
          <w:tcPr>
            <w:tcW w:w="98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851" w:leader="none"/>
              </w:tabs>
              <w:suppressAutoHyphens w:val="true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37915,00</w:t>
            </w:r>
          </w:p>
        </w:tc>
        <w:tc>
          <w:tcPr>
            <w:tcW w:w="131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851" w:leader="none"/>
              </w:tabs>
              <w:suppressAutoHyphens w:val="true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107087,32</w:t>
            </w:r>
          </w:p>
        </w:tc>
      </w:tr>
      <w:tr>
        <w:trPr/>
        <w:tc>
          <w:tcPr>
            <w:tcW w:w="1844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851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851" w:leader="none"/>
              </w:tabs>
              <w:suppressAutoHyphens w:val="true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Федеральный бюджет</w:t>
            </w:r>
          </w:p>
        </w:tc>
        <w:tc>
          <w:tcPr>
            <w:tcW w:w="95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851" w:leader="none"/>
              </w:tabs>
              <w:suppressAutoHyphens w:val="true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84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851" w:leader="none"/>
              </w:tabs>
              <w:suppressAutoHyphens w:val="true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100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851" w:leader="none"/>
              </w:tabs>
              <w:suppressAutoHyphens w:val="true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851" w:leader="none"/>
              </w:tabs>
              <w:suppressAutoHyphens w:val="true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98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851" w:leader="none"/>
              </w:tabs>
              <w:suppressAutoHyphens w:val="true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131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851" w:leader="none"/>
              </w:tabs>
              <w:suppressAutoHyphens w:val="true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</w:tr>
      <w:tr>
        <w:trPr/>
        <w:tc>
          <w:tcPr>
            <w:tcW w:w="1844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851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851" w:leader="none"/>
              </w:tabs>
              <w:suppressAutoHyphens w:val="true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Республиканский бюджет</w:t>
            </w:r>
          </w:p>
        </w:tc>
        <w:tc>
          <w:tcPr>
            <w:tcW w:w="95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851" w:leader="none"/>
              </w:tabs>
              <w:suppressAutoHyphens w:val="true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84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851" w:leader="none"/>
              </w:tabs>
              <w:suppressAutoHyphens w:val="true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100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851" w:leader="none"/>
              </w:tabs>
              <w:suppressAutoHyphens w:val="true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851" w:leader="none"/>
              </w:tabs>
              <w:suppressAutoHyphens w:val="true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98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851" w:leader="none"/>
              </w:tabs>
              <w:suppressAutoHyphens w:val="true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131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851" w:leader="none"/>
              </w:tabs>
              <w:suppressAutoHyphens w:val="true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</w:tr>
      <w:tr>
        <w:trPr/>
        <w:tc>
          <w:tcPr>
            <w:tcW w:w="1844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851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851" w:leader="none"/>
              </w:tabs>
              <w:suppressAutoHyphens w:val="true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Прочие источники</w:t>
            </w:r>
          </w:p>
        </w:tc>
        <w:tc>
          <w:tcPr>
            <w:tcW w:w="95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851" w:leader="none"/>
              </w:tabs>
              <w:suppressAutoHyphens w:val="true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84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851" w:leader="none"/>
              </w:tabs>
              <w:suppressAutoHyphens w:val="true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100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851" w:leader="none"/>
              </w:tabs>
              <w:suppressAutoHyphens w:val="true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851" w:leader="none"/>
              </w:tabs>
              <w:suppressAutoHyphens w:val="true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98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851" w:leader="none"/>
              </w:tabs>
              <w:suppressAutoHyphens w:val="true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131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851" w:leader="none"/>
              </w:tabs>
              <w:suppressAutoHyphens w:val="true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</w:tr>
      <w:tr>
        <w:trPr/>
        <w:tc>
          <w:tcPr>
            <w:tcW w:w="1844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851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851" w:leader="none"/>
              </w:tabs>
              <w:suppressAutoHyphens w:val="true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Всего</w:t>
            </w:r>
          </w:p>
        </w:tc>
        <w:tc>
          <w:tcPr>
            <w:tcW w:w="95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851" w:leader="none"/>
              </w:tabs>
              <w:suppressAutoHyphens w:val="true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22028,33</w:t>
            </w:r>
          </w:p>
        </w:tc>
        <w:tc>
          <w:tcPr>
            <w:tcW w:w="84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851" w:leader="none"/>
              </w:tabs>
              <w:suppressAutoHyphens w:val="true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1003,43</w:t>
            </w:r>
          </w:p>
        </w:tc>
        <w:tc>
          <w:tcPr>
            <w:tcW w:w="100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851" w:leader="none"/>
              </w:tabs>
              <w:suppressAutoHyphens w:val="true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13714,27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851" w:leader="none"/>
              </w:tabs>
              <w:suppressAutoHyphens w:val="true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32426,29</w:t>
            </w:r>
          </w:p>
        </w:tc>
        <w:tc>
          <w:tcPr>
            <w:tcW w:w="98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851" w:leader="none"/>
              </w:tabs>
              <w:suppressAutoHyphens w:val="true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37915,00</w:t>
            </w:r>
          </w:p>
        </w:tc>
        <w:tc>
          <w:tcPr>
            <w:tcW w:w="131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851" w:leader="none"/>
              </w:tabs>
              <w:suppressAutoHyphens w:val="true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107087,32</w:t>
            </w:r>
          </w:p>
        </w:tc>
      </w:tr>
      <w:tr>
        <w:trPr/>
        <w:tc>
          <w:tcPr>
            <w:tcW w:w="1844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851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8503" w:type="dxa"/>
            <w:gridSpan w:val="7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851" w:leader="none"/>
              </w:tabs>
              <w:suppressAutoHyphens w:val="true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kern w:val="0"/>
                <w:sz w:val="28"/>
                <w:szCs w:val="28"/>
                <w:lang w:val="ru-RU" w:eastAsia="en-US" w:bidi="ar-SA"/>
              </w:rPr>
              <w:t>Примечание: объемы финансирования носят прогнозный характер и подлежат ежегодной корректировке с учетом возможностей бюджета муниципального образования город Набережные Челны»;</w:t>
            </w:r>
          </w:p>
        </w:tc>
      </w:tr>
    </w:tbl>
    <w:p>
      <w:pPr>
        <w:pStyle w:val="Normal"/>
        <w:tabs>
          <w:tab w:val="clear" w:pos="708"/>
          <w:tab w:val="left" w:pos="851" w:leader="none"/>
        </w:tabs>
        <w:spacing w:lineRule="auto" w:line="240"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  <w:tab w:val="left" w:pos="993" w:leader="none"/>
        </w:tabs>
        <w:spacing w:lineRule="auto" w:line="240" w:before="0" w:after="0"/>
        <w:ind w:firstLine="567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главу 5 изложить в следующей редакции: </w:t>
      </w:r>
    </w:p>
    <w:p>
      <w:pPr>
        <w:pStyle w:val="Normal"/>
        <w:tabs>
          <w:tab w:val="clear" w:pos="708"/>
          <w:tab w:val="left" w:pos="0" w:leader="none"/>
          <w:tab w:val="left" w:pos="993" w:leader="none"/>
        </w:tabs>
        <w:spacing w:lineRule="auto" w:line="240" w:before="0" w:after="0"/>
        <w:ind w:firstLine="567"/>
        <w:jc w:val="center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«Глава 5. Ресурсное обеспечение программы</w:t>
      </w:r>
    </w:p>
    <w:p>
      <w:pPr>
        <w:pStyle w:val="Normal"/>
        <w:tabs>
          <w:tab w:val="clear" w:pos="708"/>
          <w:tab w:val="left" w:pos="0" w:leader="none"/>
          <w:tab w:val="left" w:pos="993" w:leader="none"/>
        </w:tabs>
        <w:spacing w:lineRule="auto" w:line="240" w:before="0" w:after="0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567"/>
        <w:jc w:val="both"/>
        <w:rPr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Источником финансирования программы является бюджет муниципального образования город Набережные Челны.</w:t>
      </w:r>
    </w:p>
    <w:p>
      <w:pPr>
        <w:pStyle w:val="ListParagraph"/>
        <w:spacing w:before="0" w:after="0"/>
        <w:ind w:left="0" w:firstLine="567"/>
        <w:contextualSpacing/>
        <w:jc w:val="both"/>
        <w:rPr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Объем финансирования программы на 2021-2025 годы составляет 107087,32</w:t>
      </w:r>
      <w:r>
        <w:rPr>
          <w:rFonts w:ascii="Times New Roman" w:hAnsi="Times New Roman"/>
          <w:sz w:val="28"/>
          <w:szCs w:val="28"/>
        </w:rPr>
        <w:t xml:space="preserve"> тыс. руб.</w:t>
      </w:r>
      <w:r>
        <w:rPr>
          <w:rFonts w:ascii="Times New Roman" w:hAnsi="Times New Roman"/>
          <w:bCs/>
          <w:sz w:val="28"/>
          <w:szCs w:val="28"/>
        </w:rPr>
        <w:t xml:space="preserve">, в том числе по годам реализации программы: </w:t>
      </w:r>
      <w:r>
        <w:rPr>
          <w:rFonts w:ascii="Times New Roman" w:hAnsi="Times New Roman"/>
          <w:sz w:val="28"/>
          <w:szCs w:val="28"/>
        </w:rPr>
        <w:t>2021 год – 22 028,33 тысячи рублей, 2022 год – 1003,43 тысячи рублей, 2023 год – 13714,27 тысяч рублей, 2024 год – 32426,29 тысяч рублей, 2025 год – 37915,00 тысяч рублей.»;</w:t>
      </w:r>
    </w:p>
    <w:p>
      <w:pPr>
        <w:pStyle w:val="ListParagraph"/>
        <w:spacing w:before="0" w:after="0"/>
        <w:ind w:left="0" w:firstLine="567"/>
        <w:contextualSpacing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главе 7 пункт 20  изложить в следующей редакции:</w:t>
      </w:r>
    </w:p>
    <w:p>
      <w:pPr>
        <w:pStyle w:val="ListParagraph"/>
        <w:spacing w:before="0" w:after="0"/>
        <w:ind w:left="0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10935" w:type="dxa"/>
        <w:jc w:val="left"/>
        <w:tblInd w:w="-7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a0" w:noHBand="0" w:lastColumn="0" w:firstColumn="1" w:lastRow="0" w:firstRow="1"/>
      </w:tblPr>
      <w:tblGrid>
        <w:gridCol w:w="1125"/>
        <w:gridCol w:w="1020"/>
        <w:gridCol w:w="735"/>
        <w:gridCol w:w="960"/>
        <w:gridCol w:w="613"/>
        <w:gridCol w:w="630"/>
        <w:gridCol w:w="617"/>
        <w:gridCol w:w="630"/>
        <w:gridCol w:w="568"/>
        <w:gridCol w:w="616"/>
        <w:gridCol w:w="616"/>
        <w:gridCol w:w="690"/>
        <w:gridCol w:w="568"/>
        <w:gridCol w:w="735"/>
        <w:gridCol w:w="812"/>
      </w:tblGrid>
      <w:tr>
        <w:trPr/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hanging="0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«20. Организация тру доустройства несовершеннолетних граждан в возрасте от 14 до 18 лет в каникулярное и свободное от учебы время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Управление по делам молодежи Исполнительного комитета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2021-2025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Количество несовершеннолетних, совершивших преступление, единиц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184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170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ind w:right="-33" w:hanging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22 028,33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ind w:left="-108" w:hanging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1003,43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color w:val="C9211E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13</w:t>
            </w:r>
          </w:p>
          <w:p>
            <w:pPr>
              <w:pStyle w:val="NoSpacing"/>
              <w:widowControl w:val="false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664,27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ind w:left="-108" w:hanging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32 376,29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ind w:left="-108" w:hanging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37865,00»</w:t>
            </w:r>
          </w:p>
        </w:tc>
      </w:tr>
    </w:tbl>
    <w:p>
      <w:pPr>
        <w:pStyle w:val="ListParagraph"/>
        <w:spacing w:before="0" w:after="0"/>
        <w:ind w:left="0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widowControl w:val="false"/>
        <w:numPr>
          <w:ilvl w:val="0"/>
          <w:numId w:val="2"/>
        </w:numPr>
        <w:shd w:val="clear" w:color="auto" w:fill="FFFFFF"/>
        <w:spacing w:before="0" w:after="0"/>
        <w:ind w:left="0" w:right="-1" w:firstLine="709"/>
        <w:contextualSpacing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eastAsia="Times New Roman" w:ascii="Times New Roman" w:hAnsi="Times New Roman"/>
          <w:sz w:val="28"/>
          <w:szCs w:val="28"/>
          <w:lang w:eastAsia="ru-RU"/>
        </w:rPr>
        <w:t>Управлению делопроизводством Исполнительного комитета обеспечить опубликование настоящего постановления и размещение его на официальном портале правовой информации Республики Татарстан (pravo.tatarstan.ru), на официальном сайте города Набережные Челны в сети Интернет.</w:t>
      </w:r>
    </w:p>
    <w:p>
      <w:pPr>
        <w:pStyle w:val="Normal"/>
        <w:widowControl/>
        <w:numPr>
          <w:ilvl w:val="0"/>
          <w:numId w:val="2"/>
        </w:numPr>
        <w:bidi w:val="0"/>
        <w:spacing w:lineRule="auto" w:line="276" w:before="0" w:after="200"/>
        <w:ind w:left="0" w:right="0" w:firstLine="737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Контроль за исполнением настоящего постановления возложить на заместителя Руководителя Исполнительного комитета Харисова В.Х., заместителя Руководителя Исполнительного комитета, начальника управления финансов Мулюкову С.Р.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</w:t>
      </w:r>
    </w:p>
    <w:p>
      <w:pPr>
        <w:pStyle w:val="Normal"/>
        <w:spacing w:lineRule="auto" w:line="240" w:before="0" w:after="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Исполнительного комитета                                                            Ф.Ш. Салахов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43"/>
        <w:gridCol w:w="6911"/>
      </w:tblGrid>
      <w:tr>
        <w:trPr>
          <w:trHeight w:val="450" w:hRule="atLeast"/>
        </w:trPr>
        <w:tc>
          <w:tcPr>
            <w:tcW w:w="244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Согласовано:</w:t>
            </w:r>
          </w:p>
        </w:tc>
        <w:tc>
          <w:tcPr>
            <w:tcW w:w="6911" w:type="dxa"/>
            <w:tcBorders/>
          </w:tcPr>
          <w:p>
            <w:pPr>
              <w:pStyle w:val="Style20"/>
              <w:widowControl w:val="false"/>
              <w:spacing w:before="0" w:after="200"/>
              <w:jc w:val="right"/>
              <w:rPr/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6"/>
                <w:szCs w:val="26"/>
                <w:lang w:val="ru-RU" w:eastAsia="en-US" w:bidi="ar-SA"/>
              </w:rPr>
              <w:t>______________________ Н. И. Галиева</w:t>
            </w:r>
          </w:p>
        </w:tc>
      </w:tr>
      <w:tr>
        <w:trPr/>
        <w:tc>
          <w:tcPr>
            <w:tcW w:w="2443" w:type="dxa"/>
            <w:tcBorders/>
          </w:tcPr>
          <w:p>
            <w:pPr>
              <w:pStyle w:val="Style20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6911" w:type="dxa"/>
            <w:tcBorders/>
          </w:tcPr>
          <w:p>
            <w:pPr>
              <w:pStyle w:val="Style20"/>
              <w:widowControl w:val="false"/>
              <w:spacing w:before="0" w:after="200"/>
              <w:jc w:val="right"/>
              <w:rPr/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6"/>
                <w:szCs w:val="26"/>
                <w:lang w:val="ru-RU" w:eastAsia="en-US" w:bidi="ar-SA"/>
              </w:rPr>
              <w:t>_____________________С.Р. Мулюкова</w:t>
            </w:r>
          </w:p>
        </w:tc>
      </w:tr>
      <w:tr>
        <w:trPr/>
        <w:tc>
          <w:tcPr>
            <w:tcW w:w="2443" w:type="dxa"/>
            <w:tcBorders/>
          </w:tcPr>
          <w:p>
            <w:pPr>
              <w:pStyle w:val="Style20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6911" w:type="dxa"/>
            <w:tcBorders/>
          </w:tcPr>
          <w:p>
            <w:pPr>
              <w:pStyle w:val="Style20"/>
              <w:widowControl w:val="false"/>
              <w:spacing w:before="0" w:after="200"/>
              <w:jc w:val="right"/>
              <w:rPr/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6"/>
                <w:szCs w:val="26"/>
                <w:lang w:val="ru-RU" w:eastAsia="en-US" w:bidi="ar-SA"/>
              </w:rPr>
              <w:t>_____________________Н.А. Кропотова</w:t>
            </w:r>
          </w:p>
        </w:tc>
      </w:tr>
      <w:tr>
        <w:trPr/>
        <w:tc>
          <w:tcPr>
            <w:tcW w:w="2443" w:type="dxa"/>
            <w:tcBorders/>
          </w:tcPr>
          <w:p>
            <w:pPr>
              <w:pStyle w:val="Style20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6911" w:type="dxa"/>
            <w:tcBorders/>
          </w:tcPr>
          <w:p>
            <w:pPr>
              <w:pStyle w:val="Style20"/>
              <w:widowControl w:val="false"/>
              <w:spacing w:before="0" w:after="200"/>
              <w:jc w:val="right"/>
              <w:rPr/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6"/>
                <w:szCs w:val="26"/>
                <w:lang w:val="ru-RU" w:eastAsia="en-US" w:bidi="ar-SA"/>
              </w:rPr>
              <w:t>______________________Е.В. Дерлюкова</w:t>
            </w:r>
          </w:p>
        </w:tc>
      </w:tr>
      <w:tr>
        <w:trPr/>
        <w:tc>
          <w:tcPr>
            <w:tcW w:w="2443" w:type="dxa"/>
            <w:tcBorders/>
          </w:tcPr>
          <w:p>
            <w:pPr>
              <w:pStyle w:val="Style20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6911" w:type="dxa"/>
            <w:tcBorders/>
          </w:tcPr>
          <w:p>
            <w:pPr>
              <w:pStyle w:val="Style20"/>
              <w:widowControl w:val="false"/>
              <w:spacing w:before="0" w:after="200"/>
              <w:jc w:val="right"/>
              <w:rPr/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6"/>
                <w:szCs w:val="26"/>
                <w:lang w:val="ru-RU" w:eastAsia="en-US" w:bidi="ar-SA"/>
              </w:rPr>
              <w:t>________________________В.Х. Харисов</w:t>
            </w:r>
          </w:p>
        </w:tc>
      </w:tr>
      <w:tr>
        <w:trPr/>
        <w:tc>
          <w:tcPr>
            <w:tcW w:w="2443" w:type="dxa"/>
            <w:tcBorders/>
          </w:tcPr>
          <w:p>
            <w:pPr>
              <w:pStyle w:val="Style20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6911" w:type="dxa"/>
            <w:tcBorders/>
          </w:tcPr>
          <w:p>
            <w:pPr>
              <w:pStyle w:val="Style20"/>
              <w:widowControl w:val="false"/>
              <w:spacing w:before="0" w:after="200"/>
              <w:jc w:val="right"/>
              <w:rPr/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6"/>
                <w:szCs w:val="26"/>
                <w:lang w:val="ru-RU" w:eastAsia="en-US" w:bidi="ar-SA"/>
              </w:rPr>
              <w:t>________________________Прокуратура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sectPr>
      <w:type w:val="nextPage"/>
      <w:pgSz w:orient="landscape" w:w="11906" w:h="16838"/>
      <w:pgMar w:left="1701" w:right="850" w:gutter="0" w:header="0" w:top="426" w:footer="0" w:bottom="56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ahoma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Verdana">
    <w:charset w:val="01"/>
    <w:family w:val="roman"/>
    <w:pitch w:val="default"/>
  </w:font>
  <w:font w:name="Arial">
    <w:charset w:val="01"/>
    <w:family w:val="roman"/>
    <w:pitch w:val="default"/>
  </w:font>
  <w:font w:name="Courier New">
    <w:charset w:val="01"/>
    <w:family w:val="roman"/>
    <w:pitch w:val="default"/>
  </w:font>
  <w:font w:name="Carlito">
    <w:altName w:val="Calibri"/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1182" w:hanging="615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920" w:hanging="360"/>
      </w:pPr>
      <w:rPr>
        <w:sz w:val="26"/>
        <w:szCs w:val="26"/>
        <w:rFonts w:ascii="Carlito" w:hAnsi="Carli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0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2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0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5c4c08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semiHidden/>
    <w:qFormat/>
    <w:rsid w:val="001855d4"/>
    <w:rPr>
      <w:rFonts w:ascii="Tahoma" w:hAnsi="Tahoma" w:eastAsia="Times New Roman" w:cs="Tahoma"/>
      <w:sz w:val="16"/>
      <w:szCs w:val="16"/>
      <w:lang w:eastAsia="ru-RU"/>
    </w:rPr>
  </w:style>
  <w:style w:type="character" w:styleId="2" w:customStyle="1">
    <w:name w:val="Основной текст 2 Знак"/>
    <w:basedOn w:val="DefaultParagraphFont"/>
    <w:link w:val="BodyText2"/>
    <w:qFormat/>
    <w:rsid w:val="00fd1233"/>
    <w:rPr>
      <w:rFonts w:ascii="Calibri" w:hAnsi="Calibri" w:eastAsia="Times New Roman" w:cs="Times New Roman"/>
    </w:rPr>
  </w:style>
  <w:style w:type="character" w:styleId="FontStyle21" w:customStyle="1">
    <w:name w:val="Font Style21"/>
    <w:qFormat/>
    <w:rsid w:val="00da38e3"/>
    <w:rPr>
      <w:rFonts w:ascii="Times New Roman" w:hAnsi="Times New Roman"/>
      <w:sz w:val="26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ascii="PT Astra Serif" w:hAnsi="PT Astra Serif"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5c4c08"/>
    <w:pPr>
      <w:spacing w:before="0" w:after="200"/>
      <w:ind w:left="720" w:hanging="0"/>
      <w:contextualSpacing/>
    </w:pPr>
    <w:rPr/>
  </w:style>
  <w:style w:type="paragraph" w:styleId="NormalWeb">
    <w:name w:val="Normal (Web)"/>
    <w:basedOn w:val="Normal"/>
    <w:qFormat/>
    <w:rsid w:val="005c4c08"/>
    <w:pPr>
      <w:spacing w:lineRule="auto" w:line="240" w:beforeAutospacing="1" w:afterAutospacing="1"/>
      <w:ind w:firstLine="450"/>
      <w:jc w:val="both"/>
    </w:pPr>
    <w:rPr>
      <w:rFonts w:ascii="Verdana" w:hAnsi="Verdana" w:eastAsia="Times New Roman"/>
      <w:color w:val="333366"/>
      <w:sz w:val="18"/>
      <w:szCs w:val="18"/>
      <w:lang w:eastAsia="ru-RU"/>
    </w:rPr>
  </w:style>
  <w:style w:type="paragraph" w:styleId="ConsPlusCell" w:customStyle="1">
    <w:name w:val="ConsPlusCell"/>
    <w:qFormat/>
    <w:rsid w:val="005c4c08"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Calibri" w:cs="Arial" w:eastAsiaTheme="minorHAnsi"/>
      <w:color w:val="auto"/>
      <w:kern w:val="0"/>
      <w:sz w:val="20"/>
      <w:szCs w:val="20"/>
      <w:lang w:val="ru-RU" w:eastAsia="ru-RU" w:bidi="ar-SA"/>
    </w:rPr>
  </w:style>
  <w:style w:type="paragraph" w:styleId="BalloonText">
    <w:name w:val="Balloon Text"/>
    <w:basedOn w:val="Normal"/>
    <w:link w:val="Style14"/>
    <w:semiHidden/>
    <w:qFormat/>
    <w:rsid w:val="001855d4"/>
    <w:pPr>
      <w:spacing w:lineRule="auto" w:line="240" w:before="0" w:after="0"/>
    </w:pPr>
    <w:rPr>
      <w:rFonts w:ascii="Tahoma" w:hAnsi="Tahoma" w:eastAsia="Times New Roman" w:cs="Tahoma"/>
      <w:sz w:val="16"/>
      <w:szCs w:val="16"/>
      <w:lang w:eastAsia="ru-RU"/>
    </w:rPr>
  </w:style>
  <w:style w:type="paragraph" w:styleId="BodyText2">
    <w:name w:val="Body Text 2"/>
    <w:basedOn w:val="Normal"/>
    <w:link w:val="2"/>
    <w:qFormat/>
    <w:rsid w:val="00fd1233"/>
    <w:pPr>
      <w:spacing w:lineRule="auto" w:line="480" w:before="0" w:after="120"/>
    </w:pPr>
    <w:rPr>
      <w:rFonts w:eastAsia="Times New Roman"/>
    </w:rPr>
  </w:style>
  <w:style w:type="paragraph" w:styleId="ConsPlusNonformat" w:customStyle="1">
    <w:name w:val="ConsPlusNonformat"/>
    <w:qFormat/>
    <w:rsid w:val="00fd1233"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Calibri" w:cs="Courier New" w:eastAsiaTheme="minorHAnsi"/>
      <w:color w:val="auto"/>
      <w:kern w:val="0"/>
      <w:sz w:val="20"/>
      <w:szCs w:val="20"/>
      <w:lang w:val="ru-RU" w:eastAsia="ru-RU" w:bidi="ar-SA"/>
    </w:rPr>
  </w:style>
  <w:style w:type="paragraph" w:styleId="NoSpacing">
    <w:name w:val="No Spacing"/>
    <w:uiPriority w:val="1"/>
    <w:qFormat/>
    <w:rsid w:val="00fd1233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Times New Roman" w:ascii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tyle20">
    <w:name w:val="Содержимое таблицы"/>
    <w:basedOn w:val="Normal"/>
    <w:qFormat/>
    <w:pPr>
      <w:widowControl w:val="false"/>
      <w:suppressLineNumbers/>
    </w:pPr>
    <w:rPr/>
  </w:style>
  <w:style w:type="paragraph" w:styleId="Style21">
    <w:name w:val="Заголовок таблицы"/>
    <w:basedOn w:val="Style20"/>
    <w:qFormat/>
    <w:pPr>
      <w:suppressLineNumbers/>
      <w:jc w:val="center"/>
    </w:pPr>
    <w:rPr>
      <w:b/>
      <w:bCs/>
    </w:rPr>
  </w:style>
  <w:style w:type="paragraph" w:styleId="Style22">
    <w:name w:val="Содержимое врезки"/>
    <w:basedOn w:val="Normal"/>
    <w:qFormat/>
    <w:pPr/>
    <w:rPr/>
  </w:style>
  <w:style w:type="numbering" w:styleId="Style23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39"/>
    <w:rsid w:val="00462dd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946</TotalTime>
  <Application>LibreOffice/7.5.6.2$Linux_X86_64 LibreOffice_project/50$Build-2</Application>
  <AppVersion>15.0000</AppVersion>
  <Pages>3</Pages>
  <Words>579</Words>
  <Characters>4020</Characters>
  <CharactersWithSpaces>4579</CharactersWithSpaces>
  <Paragraphs>93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2021-08-11T07:35:00Z</dcterms:created>
  <dc:creator>Ирина Вылегжанина Валентиновна</dc:creator>
  <dc:description/>
  <dc:language>ru-RU</dc:language>
  <cp:lastModifiedBy/>
  <cp:lastPrinted>2025-08-22T13:32:25Z</cp:lastPrinted>
  <dcterms:modified xsi:type="dcterms:W3CDTF">2025-08-22T14:11:20Z</dcterms:modified>
  <cp:revision>43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