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6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66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ind w:right="5242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242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242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right="5242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</w:t>
      </w:r>
      <w:r>
        <w:rPr>
          <w:rFonts w:ascii="Times New Roman" w:hAnsi="Times New Roman" w:cs="Times New Roman"/>
          <w:bCs/>
          <w:sz w:val="28"/>
          <w:szCs w:val="28"/>
        </w:rPr>
        <w:t xml:space="preserve"> внесении изменени</w:t>
      </w:r>
      <w:r>
        <w:rPr>
          <w:rFonts w:ascii="Times New Roman" w:hAnsi="Times New Roman" w:cs="Times New Roman"/>
          <w:bCs/>
          <w:sz w:val="28"/>
          <w:szCs w:val="28"/>
        </w:rPr>
        <w:t xml:space="preserve">й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перечень приоритетных инвестиционных проектов на 202</w:t>
      </w:r>
      <w:r>
        <w:rPr>
          <w:rFonts w:ascii="Times New Roman" w:hAnsi="Times New Roman" w:cs="Times New Roman"/>
          <w:bCs/>
          <w:sz w:val="28"/>
          <w:szCs w:val="28"/>
        </w:rPr>
        <w:t xml:space="preserve">5 год, соответствующих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приори</w:t>
      </w:r>
      <w:r>
        <w:rPr>
          <w:rFonts w:ascii="Times New Roman" w:hAnsi="Times New Roman" w:cs="Times New Roman"/>
          <w:bCs/>
          <w:sz w:val="28"/>
          <w:szCs w:val="28"/>
        </w:rPr>
        <w:t xml:space="preserve">тетным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направлениям инвестиционной политики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Р</w:t>
      </w:r>
      <w:r>
        <w:rPr>
          <w:rFonts w:ascii="Times New Roman" w:hAnsi="Times New Roman" w:cs="Times New Roman"/>
          <w:bCs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Т</w:t>
      </w:r>
      <w:r>
        <w:rPr>
          <w:rFonts w:ascii="Times New Roman" w:hAnsi="Times New Roman" w:cs="Times New Roman"/>
          <w:bCs/>
          <w:sz w:val="28"/>
          <w:szCs w:val="28"/>
        </w:rPr>
        <w:t xml:space="preserve">атарстан,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опре</w:t>
      </w:r>
      <w:r>
        <w:rPr>
          <w:rFonts w:ascii="Times New Roman" w:hAnsi="Times New Roman" w:cs="Times New Roman"/>
          <w:bCs/>
          <w:sz w:val="28"/>
          <w:szCs w:val="28"/>
        </w:rPr>
        <w:t xml:space="preserve">деленным </w:t>
      </w:r>
      <w:r>
        <w:rPr>
          <w:rFonts w:ascii="Times New Roman" w:hAnsi="Times New Roman" w:cs="Times New Roman"/>
          <w:bCs/>
          <w:sz w:val="28"/>
          <w:szCs w:val="28"/>
        </w:rPr>
        <w:t xml:space="preserve">И</w:t>
      </w:r>
      <w:r>
        <w:rPr>
          <w:rFonts w:ascii="Times New Roman" w:hAnsi="Times New Roman" w:cs="Times New Roman"/>
          <w:bCs/>
          <w:sz w:val="28"/>
          <w:szCs w:val="28"/>
        </w:rPr>
        <w:t xml:space="preserve">нвестиционным </w:t>
      </w:r>
      <w:r>
        <w:rPr>
          <w:rFonts w:ascii="Times New Roman" w:hAnsi="Times New Roman" w:cs="Times New Roman"/>
          <w:bCs/>
          <w:sz w:val="28"/>
          <w:szCs w:val="28"/>
        </w:rPr>
        <w:t xml:space="preserve">меморанду</w:t>
      </w:r>
      <w:r>
        <w:rPr>
          <w:rFonts w:ascii="Times New Roman" w:hAnsi="Times New Roman" w:cs="Times New Roman"/>
          <w:bCs/>
          <w:sz w:val="28"/>
          <w:szCs w:val="28"/>
        </w:rPr>
        <w:t xml:space="preserve">мом </w:t>
      </w:r>
      <w:r>
        <w:rPr>
          <w:rFonts w:ascii="Times New Roman" w:hAnsi="Times New Roman" w:cs="Times New Roman"/>
          <w:bCs/>
          <w:sz w:val="28"/>
          <w:szCs w:val="28"/>
        </w:rPr>
        <w:t xml:space="preserve">Р</w:t>
      </w:r>
      <w:r>
        <w:rPr>
          <w:rFonts w:ascii="Times New Roman" w:hAnsi="Times New Roman" w:cs="Times New Roman"/>
          <w:bCs/>
          <w:sz w:val="28"/>
          <w:szCs w:val="28"/>
        </w:rPr>
        <w:t xml:space="preserve">еспублики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Т</w:t>
      </w:r>
      <w:r>
        <w:rPr>
          <w:rFonts w:ascii="Times New Roman" w:hAnsi="Times New Roman" w:cs="Times New Roman"/>
          <w:bCs/>
          <w:sz w:val="28"/>
          <w:szCs w:val="28"/>
        </w:rPr>
        <w:t xml:space="preserve">атарстан на 202</w:t>
      </w:r>
      <w:r>
        <w:rPr>
          <w:rFonts w:ascii="Times New Roman" w:hAnsi="Times New Roman" w:cs="Times New Roman"/>
          <w:bCs/>
          <w:sz w:val="28"/>
          <w:szCs w:val="28"/>
        </w:rPr>
        <w:t xml:space="preserve">3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202</w:t>
      </w:r>
      <w:r>
        <w:rPr>
          <w:rFonts w:ascii="Times New Roman" w:hAnsi="Times New Roman" w:cs="Times New Roman"/>
          <w:bCs/>
          <w:sz w:val="28"/>
          <w:szCs w:val="28"/>
        </w:rPr>
        <w:t xml:space="preserve">5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годы, утвержденный постанов</w:t>
      </w:r>
      <w:r>
        <w:rPr>
          <w:rFonts w:ascii="Times New Roman" w:hAnsi="Times New Roman" w:cs="Times New Roman"/>
          <w:bCs/>
          <w:sz w:val="28"/>
          <w:szCs w:val="28"/>
        </w:rPr>
        <w:t xml:space="preserve">лением</w:t>
      </w:r>
      <w:r>
        <w:rPr>
          <w:rFonts w:ascii="Times New Roman" w:hAnsi="Times New Roman" w:cs="Times New Roman"/>
          <w:bCs/>
          <w:sz w:val="28"/>
          <w:szCs w:val="28"/>
        </w:rPr>
        <w:t xml:space="preserve"> К</w:t>
      </w:r>
      <w:r>
        <w:rPr>
          <w:rFonts w:ascii="Times New Roman" w:hAnsi="Times New Roman" w:cs="Times New Roman"/>
          <w:bCs/>
          <w:sz w:val="28"/>
          <w:szCs w:val="28"/>
        </w:rPr>
        <w:t xml:space="preserve">абинета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М</w:t>
      </w:r>
      <w:r>
        <w:rPr>
          <w:rFonts w:ascii="Times New Roman" w:hAnsi="Times New Roman" w:cs="Times New Roman"/>
          <w:bCs/>
          <w:sz w:val="28"/>
          <w:szCs w:val="28"/>
        </w:rPr>
        <w:t xml:space="preserve">инистров </w:t>
      </w:r>
      <w:r>
        <w:rPr>
          <w:rFonts w:ascii="Times New Roman" w:hAnsi="Times New Roman" w:cs="Times New Roman"/>
          <w:bCs/>
          <w:sz w:val="28"/>
          <w:szCs w:val="28"/>
        </w:rPr>
        <w:t xml:space="preserve">Р</w:t>
      </w:r>
      <w:r>
        <w:rPr>
          <w:rFonts w:ascii="Times New Roman" w:hAnsi="Times New Roman" w:cs="Times New Roman"/>
          <w:bCs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Т</w:t>
      </w:r>
      <w:r>
        <w:rPr>
          <w:rFonts w:ascii="Times New Roman" w:hAnsi="Times New Roman" w:cs="Times New Roman"/>
          <w:bCs/>
          <w:sz w:val="28"/>
          <w:szCs w:val="28"/>
        </w:rPr>
        <w:t xml:space="preserve">атарстан от </w:t>
      </w:r>
      <w:r>
        <w:rPr>
          <w:rFonts w:ascii="Times New Roman" w:hAnsi="Times New Roman" w:cs="Times New Roman"/>
          <w:sz w:val="28"/>
          <w:szCs w:val="28"/>
        </w:rPr>
        <w:t xml:space="preserve">20.12.202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1172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ind w:right="5527"/>
        <w:jc w:val="both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ПОСТАНОВЛЯЕТ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10" w:tooltip="consultantplus://offline/ref=42462BBB131931D53A84A8807762E72D5B9C40CEC8F5F12EAC3C77DD4BBD728ECAE1D320D61CA89558D45A59713F12A687EF5F22778E6E83FC4801EFh0E9M" w:history="1">
        <w:r>
          <w:rPr>
            <w:rFonts w:ascii="Times New Roman" w:hAnsi="Times New Roman" w:cs="Times New Roman"/>
            <w:sz w:val="28"/>
            <w:szCs w:val="28"/>
          </w:rPr>
          <w:t xml:space="preserve">перечень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приоритетных инвестиционных проектов на 202</w:t>
      </w:r>
      <w:r>
        <w:rPr>
          <w:rFonts w:ascii="Times New Roman" w:hAnsi="Times New Roman" w:cs="Times New Roman"/>
          <w:sz w:val="28"/>
          <w:szCs w:val="28"/>
        </w:rPr>
        <w:t xml:space="preserve">5 год, соответствующих приоритетным направлениям инвестиционной политики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Татарстан, определенным Инвестиционным меморандумом Республики </w:t>
      </w:r>
      <w:r>
        <w:rPr>
          <w:rFonts w:ascii="Times New Roman" w:hAnsi="Times New Roman" w:cs="Times New Roman"/>
          <w:sz w:val="28"/>
          <w:szCs w:val="28"/>
        </w:rPr>
        <w:t xml:space="preserve">Татарстан на 202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годы, утвержденный постановлением Кабинета Министров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20.12.2024 № 1172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«Об утверждении перечня приоритетных инвестиционных проектов на 202</w:t>
      </w:r>
      <w:r>
        <w:rPr>
          <w:rFonts w:ascii="Times New Roman" w:hAnsi="Times New Roman" w:cs="Times New Roman"/>
          <w:bCs/>
          <w:sz w:val="28"/>
          <w:szCs w:val="28"/>
        </w:rPr>
        <w:t xml:space="preserve">5 год, соответствующих приоритетным направлениям</w:t>
      </w:r>
      <w:r>
        <w:rPr>
          <w:rFonts w:ascii="Times New Roman" w:hAnsi="Times New Roman" w:cs="Times New Roman"/>
          <w:bCs/>
          <w:sz w:val="28"/>
          <w:szCs w:val="28"/>
        </w:rPr>
        <w:t xml:space="preserve"> инвестиционной политики Республики Татарстан, определенным </w:t>
      </w:r>
      <w:r>
        <w:rPr>
          <w:rFonts w:ascii="Times New Roman" w:hAnsi="Times New Roman" w:cs="Times New Roman"/>
          <w:bCs/>
          <w:sz w:val="28"/>
          <w:szCs w:val="28"/>
        </w:rPr>
        <w:t xml:space="preserve">И</w:t>
      </w:r>
      <w:r>
        <w:rPr>
          <w:rFonts w:ascii="Times New Roman" w:hAnsi="Times New Roman" w:cs="Times New Roman"/>
          <w:bCs/>
          <w:sz w:val="28"/>
          <w:szCs w:val="28"/>
        </w:rPr>
        <w:t xml:space="preserve">нв</w:t>
      </w:r>
      <w:r>
        <w:rPr>
          <w:rFonts w:ascii="Times New Roman" w:hAnsi="Times New Roman" w:cs="Times New Roman"/>
          <w:bCs/>
          <w:sz w:val="28"/>
          <w:szCs w:val="28"/>
        </w:rPr>
        <w:t xml:space="preserve">ес</w:t>
      </w:r>
      <w:r>
        <w:rPr>
          <w:rFonts w:ascii="Times New Roman" w:hAnsi="Times New Roman" w:cs="Times New Roman"/>
          <w:bCs/>
          <w:sz w:val="28"/>
          <w:szCs w:val="28"/>
        </w:rPr>
        <w:t xml:space="preserve">тиционным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меморандумом Республики Татарстан на 202</w:t>
      </w:r>
      <w:r>
        <w:rPr>
          <w:rFonts w:ascii="Times New Roman" w:hAnsi="Times New Roman" w:cs="Times New Roman"/>
          <w:bCs/>
          <w:sz w:val="28"/>
          <w:szCs w:val="28"/>
        </w:rPr>
        <w:t xml:space="preserve">3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202</w:t>
      </w:r>
      <w:r>
        <w:rPr>
          <w:rFonts w:ascii="Times New Roman" w:hAnsi="Times New Roman" w:cs="Times New Roman"/>
          <w:bCs/>
          <w:sz w:val="28"/>
          <w:szCs w:val="28"/>
        </w:rPr>
        <w:t xml:space="preserve">5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годы» </w:t>
      </w:r>
      <w:r>
        <w:rPr>
          <w:rFonts w:ascii="Times New Roman" w:hAnsi="Times New Roman" w:cs="Times New Roman"/>
          <w:bCs/>
          <w:sz w:val="28"/>
          <w:szCs w:val="28"/>
        </w:rPr>
        <w:t xml:space="preserve">(с изменениями,</w:t>
      </w:r>
      <w:r>
        <w:rPr>
          <w:rFonts w:ascii="Times New Roman" w:hAnsi="Times New Roman" w:cs="Times New Roman"/>
          <w:sz w:val="28"/>
          <w:szCs w:val="28"/>
        </w:rPr>
        <w:t xml:space="preserve"> внесенными постановлениями Кабинета Министров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27.03.2025 № 174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_________ №______)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следующие </w:t>
      </w:r>
      <w:r>
        <w:rPr>
          <w:rFonts w:ascii="Times New Roman" w:hAnsi="Times New Roman" w:cs="Times New Roman"/>
          <w:sz w:val="28"/>
          <w:szCs w:val="28"/>
        </w:rPr>
        <w:t xml:space="preserve">изменени</w:t>
      </w:r>
      <w:r>
        <w:rPr>
          <w:rFonts w:ascii="Times New Roman" w:hAnsi="Times New Roman" w:cs="Times New Roman"/>
          <w:sz w:val="28"/>
          <w:szCs w:val="28"/>
        </w:rPr>
        <w:t xml:space="preserve">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разделе I: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подпункт 6 пункта 3 признать утратившим силу;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пункте 10: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</w:rPr>
        <w:t xml:space="preserve">подпункт 1 изложить в следующей редакции;</w:t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«1)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«Перспективное развитие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собой экономической зоны промышленно-производственного типа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«Алабуга», в том числе строительство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/>
        </w:rPr>
        <w:t xml:space="preserve">III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очереди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    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АО «Особая экономическая зона промышленно-производственного типа «Алабуга»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Елабужский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Нижнекамский, Менделевский муниципальные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районы,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г. Казань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);»;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подпункт 16 признать утратившим силу;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подпункт 18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изложить в следующей редакции: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62"/>
        <w:ind w:left="0" w:right="0" w:firstLine="709"/>
        <w:jc w:val="both"/>
        <w:spacing w:after="0" w:afterAutospacing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«18)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Многофункциональное здание – Распределительный центр в Зеленодольском районе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(ООО «Татьяна», Зеленодольский муниципальный район);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singl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single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дополнить подпунктами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36-42 следующего содержания: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36) «Создание индустриального парка «Этилен-600» на территории Нижнекамского и Тукаевского муниципальных районов Республики Татарстан» </w:t>
        <w:br/>
        <w:t xml:space="preserve">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АО «Особая экономическая зона промышленно-производственного типа «Алабуга»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Нижнекамский и Тука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евский муниципальные районы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);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37) «Создание индустриального парка «Аммоний» на территории Менделеевского муниципального района Республики Татарстан» (АО «Аммоний»,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АО «Особая экономическая зона промышленно-производственного типа «Алабуга»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Менделеевский муниципальный район)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38)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Создание микрорайона «Центральный парк» на 50 тыс. жителей и современного медицинского центра (больницы) на территории Елабужского муниципального района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Республики Татарстан» 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АО «Особая экономическая зона промышленно-производственного типа «Алабуга»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Елабужский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муниципальный район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39)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«Строительство научно-исследовательского и учебного центра в г.Альметьевск (Кампус «Высшая школа нефти»)» (ООО «ТатнефтьАктив», г.Альметьевск);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40)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«Мультимодальный производственный комплекс «Тукай» на территории Тукаевского муниципального района Республики Татарстан (ООО «ТУКАЙ ГРУПП»,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Тукаевский муниципальный район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41)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«Промышленный парк «Турбина» на территории Зеленодольского муниципального района Республики Татарстан» (ООО «УК «Турбина»,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Зеленодольский муниципальный район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42)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«Организация производственной площадки по разработке, производству и ремонту вооружения и военной техники в г. Набережные Челны» (АО «АСТЕЙС», г.Набережные Челны).»;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разделе II: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пункт 3 дополнить подпунктом 3 следующего содержания: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«3)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«Индустриально-логистический парк «Дружба» - очередь I» (ООО СЗ «ИЛП «ПОТОК», Зеленодольский муниципальный район).»;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дополнить пунктом 4 следующего содержания: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«4.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Химическое производство: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«Реконструкция реактора «В» завода по производству и переработке полиэтилена низкого давления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ПАО «Казаньоргсинтез»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(ПАО «Казаньоргсинтез», г.Казань).».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567" w:leader="none"/>
          <w:tab w:val="left" w:pos="851" w:leader="none"/>
          <w:tab w:val="left" w:pos="1134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Премьер-министр 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Татарстан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ab/>
        <w:tab/>
        <w:tab/>
        <w:tab/>
        <w:tab/>
        <w:tab/>
        <w:tab/>
        <w:tab/>
        <w:t xml:space="preserve">А.В.Песошин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5" w:h="16838" w:orient="portrait"/>
      <w:pgMar w:top="1134" w:right="567" w:bottom="1134" w:left="1134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825515623"/>
      <w:docPartObj>
        <w:docPartGallery w:val="Page Numbers (Top of Page)"/>
        <w:docPartUnique w:val="true"/>
      </w:docPartObj>
      <w:rPr/>
    </w:sdtPr>
    <w:sdtContent>
      <w:p>
        <w:pPr>
          <w:pStyle w:val="868"/>
          <w:jc w:val="center"/>
        </w:pPr>
        <w:r/>
        <w:r/>
      </w:p>
      <w:p>
        <w:pPr>
          <w:pStyle w:val="868"/>
          <w:jc w:val="center"/>
          <w:rPr>
            <w:rFonts w:ascii="Times New Roman" w:hAnsi="Times New Roman" w:cs="Times New Roman"/>
            <w:sz w:val="28"/>
          </w:rPr>
        </w:pPr>
        <w:r>
          <w:rPr>
            <w:rFonts w:ascii="Times New Roman" w:hAnsi="Times New Roman" w:cs="Times New Roman"/>
            <w:sz w:val="28"/>
          </w:rPr>
          <w:fldChar w:fldCharType="begin"/>
        </w:r>
        <w:r>
          <w:rPr>
            <w:rFonts w:ascii="Times New Roman" w:hAnsi="Times New Roman" w:cs="Times New Roman"/>
            <w:sz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</w:rPr>
          <w:fldChar w:fldCharType="separate"/>
        </w:r>
        <w:r>
          <w:rPr>
            <w:rFonts w:ascii="Times New Roman" w:hAnsi="Times New Roman" w:cs="Times New Roman"/>
            <w:sz w:val="28"/>
          </w:rPr>
          <w:t xml:space="preserve">2</w:t>
        </w:r>
        <w:r>
          <w:rPr>
            <w:rFonts w:ascii="Times New Roman" w:hAnsi="Times New Roman" w:cs="Times New Roman"/>
            <w:sz w:val="28"/>
          </w:rPr>
          <w:fldChar w:fldCharType="end"/>
        </w:r>
        <w:r>
          <w:rPr>
            <w:rFonts w:ascii="Times New Roman" w:hAnsi="Times New Roman" w:cs="Times New Roman"/>
            <w:sz w:val="28"/>
          </w:rPr>
        </w:r>
        <w:r>
          <w:rPr>
            <w:rFonts w:ascii="Times New Roman" w:hAnsi="Times New Roman" w:cs="Times New Roman"/>
            <w:sz w:val="28"/>
          </w:rPr>
        </w:r>
      </w:p>
    </w:sdtContent>
  </w:sdt>
  <w:p>
    <w:pPr>
      <w:pStyle w:val="86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50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6">
    <w:name w:val="Heading 1"/>
    <w:basedOn w:val="862"/>
    <w:next w:val="862"/>
    <w:link w:val="68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7">
    <w:name w:val="Heading 1 Char"/>
    <w:basedOn w:val="863"/>
    <w:link w:val="686"/>
    <w:uiPriority w:val="9"/>
    <w:rPr>
      <w:rFonts w:ascii="Arial" w:hAnsi="Arial" w:eastAsia="Arial" w:cs="Arial"/>
      <w:sz w:val="40"/>
      <w:szCs w:val="40"/>
    </w:rPr>
  </w:style>
  <w:style w:type="paragraph" w:styleId="688">
    <w:name w:val="Heading 2"/>
    <w:basedOn w:val="862"/>
    <w:next w:val="862"/>
    <w:link w:val="68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9">
    <w:name w:val="Heading 2 Char"/>
    <w:basedOn w:val="863"/>
    <w:link w:val="688"/>
    <w:uiPriority w:val="9"/>
    <w:rPr>
      <w:rFonts w:ascii="Arial" w:hAnsi="Arial" w:eastAsia="Arial" w:cs="Arial"/>
      <w:sz w:val="34"/>
    </w:rPr>
  </w:style>
  <w:style w:type="paragraph" w:styleId="690">
    <w:name w:val="Heading 3"/>
    <w:basedOn w:val="862"/>
    <w:next w:val="862"/>
    <w:link w:val="69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1">
    <w:name w:val="Heading 3 Char"/>
    <w:basedOn w:val="863"/>
    <w:link w:val="690"/>
    <w:uiPriority w:val="9"/>
    <w:rPr>
      <w:rFonts w:ascii="Arial" w:hAnsi="Arial" w:eastAsia="Arial" w:cs="Arial"/>
      <w:sz w:val="30"/>
      <w:szCs w:val="30"/>
    </w:rPr>
  </w:style>
  <w:style w:type="paragraph" w:styleId="692">
    <w:name w:val="Heading 4"/>
    <w:basedOn w:val="862"/>
    <w:next w:val="862"/>
    <w:link w:val="6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3">
    <w:name w:val="Heading 4 Char"/>
    <w:basedOn w:val="863"/>
    <w:link w:val="692"/>
    <w:uiPriority w:val="9"/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862"/>
    <w:next w:val="862"/>
    <w:link w:val="69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5">
    <w:name w:val="Heading 5 Char"/>
    <w:basedOn w:val="863"/>
    <w:link w:val="694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62"/>
    <w:next w:val="862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63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62"/>
    <w:next w:val="862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63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62"/>
    <w:next w:val="862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63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62"/>
    <w:next w:val="862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6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paragraph" w:styleId="704">
    <w:name w:val="List Paragraph"/>
    <w:basedOn w:val="862"/>
    <w:uiPriority w:val="34"/>
    <w:qFormat/>
    <w:pPr>
      <w:contextualSpacing/>
      <w:ind w:left="720"/>
    </w:pPr>
  </w:style>
  <w:style w:type="paragraph" w:styleId="705">
    <w:name w:val="No Spacing"/>
    <w:uiPriority w:val="1"/>
    <w:qFormat/>
    <w:pPr>
      <w:spacing w:before="0" w:after="0" w:line="240" w:lineRule="auto"/>
    </w:pPr>
  </w:style>
  <w:style w:type="paragraph" w:styleId="706">
    <w:name w:val="Title"/>
    <w:basedOn w:val="862"/>
    <w:next w:val="862"/>
    <w:link w:val="70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7">
    <w:name w:val="Title Char"/>
    <w:basedOn w:val="863"/>
    <w:link w:val="706"/>
    <w:uiPriority w:val="10"/>
    <w:rPr>
      <w:sz w:val="48"/>
      <w:szCs w:val="48"/>
    </w:rPr>
  </w:style>
  <w:style w:type="paragraph" w:styleId="708">
    <w:name w:val="Subtitle"/>
    <w:basedOn w:val="862"/>
    <w:next w:val="862"/>
    <w:link w:val="709"/>
    <w:uiPriority w:val="11"/>
    <w:qFormat/>
    <w:pPr>
      <w:spacing w:before="200" w:after="200"/>
    </w:pPr>
    <w:rPr>
      <w:sz w:val="24"/>
      <w:szCs w:val="24"/>
    </w:rPr>
  </w:style>
  <w:style w:type="character" w:styleId="709">
    <w:name w:val="Subtitle Char"/>
    <w:basedOn w:val="863"/>
    <w:link w:val="708"/>
    <w:uiPriority w:val="11"/>
    <w:rPr>
      <w:sz w:val="24"/>
      <w:szCs w:val="24"/>
    </w:rPr>
  </w:style>
  <w:style w:type="paragraph" w:styleId="710">
    <w:name w:val="Quote"/>
    <w:basedOn w:val="862"/>
    <w:next w:val="862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62"/>
    <w:next w:val="862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character" w:styleId="714">
    <w:name w:val="Header Char"/>
    <w:basedOn w:val="863"/>
    <w:link w:val="868"/>
    <w:uiPriority w:val="99"/>
  </w:style>
  <w:style w:type="character" w:styleId="715">
    <w:name w:val="Footer Char"/>
    <w:basedOn w:val="863"/>
    <w:link w:val="870"/>
    <w:uiPriority w:val="99"/>
  </w:style>
  <w:style w:type="paragraph" w:styleId="716">
    <w:name w:val="Caption"/>
    <w:basedOn w:val="862"/>
    <w:next w:val="86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70"/>
    <w:uiPriority w:val="99"/>
  </w:style>
  <w:style w:type="table" w:styleId="718">
    <w:name w:val="Table Grid"/>
    <w:basedOn w:val="86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8">
    <w:name w:val="List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9">
    <w:name w:val="List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0">
    <w:name w:val="List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1">
    <w:name w:val="List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2">
    <w:name w:val="List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3">
    <w:name w:val="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5">
    <w:name w:val="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6">
    <w:name w:val="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7">
    <w:name w:val="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8">
    <w:name w:val="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9">
    <w:name w:val="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0">
    <w:name w:val="Bordered &amp; 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2">
    <w:name w:val="Bordered &amp; 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3">
    <w:name w:val="Bordered &amp; 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4">
    <w:name w:val="Bordered &amp; 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5">
    <w:name w:val="Bordered &amp; 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6">
    <w:name w:val="Bordered &amp; 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7">
    <w:name w:val="Bordered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4">
    <w:name w:val="Hyperlink"/>
    <w:uiPriority w:val="99"/>
    <w:unhideWhenUsed/>
    <w:rPr>
      <w:color w:val="0000ff" w:themeColor="hyperlink"/>
      <w:u w:val="single"/>
    </w:rPr>
  </w:style>
  <w:style w:type="paragraph" w:styleId="845">
    <w:name w:val="footnote text"/>
    <w:basedOn w:val="862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basedOn w:val="863"/>
    <w:uiPriority w:val="99"/>
    <w:unhideWhenUsed/>
    <w:rPr>
      <w:vertAlign w:val="superscript"/>
    </w:rPr>
  </w:style>
  <w:style w:type="paragraph" w:styleId="848">
    <w:name w:val="endnote text"/>
    <w:basedOn w:val="862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basedOn w:val="863"/>
    <w:uiPriority w:val="99"/>
    <w:semiHidden/>
    <w:unhideWhenUsed/>
    <w:rPr>
      <w:vertAlign w:val="superscript"/>
    </w:rPr>
  </w:style>
  <w:style w:type="paragraph" w:styleId="851">
    <w:name w:val="toc 1"/>
    <w:basedOn w:val="862"/>
    <w:next w:val="862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2"/>
    <w:next w:val="862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2"/>
    <w:next w:val="862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2"/>
    <w:next w:val="862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2"/>
    <w:next w:val="862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2"/>
    <w:next w:val="862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2"/>
    <w:next w:val="862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2"/>
    <w:next w:val="862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2"/>
    <w:next w:val="862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qFormat/>
  </w:style>
  <w:style w:type="character" w:styleId="863" w:default="1">
    <w:name w:val="Default Paragraph Font"/>
    <w:uiPriority w:val="1"/>
    <w:semiHidden/>
    <w:unhideWhenUsed/>
  </w:style>
  <w:style w:type="table" w:styleId="8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5" w:default="1">
    <w:name w:val="No List"/>
    <w:uiPriority w:val="99"/>
    <w:semiHidden/>
    <w:unhideWhenUsed/>
  </w:style>
  <w:style w:type="paragraph" w:styleId="866" w:customStyle="1">
    <w:name w:val="ConsPlusTitle"/>
    <w:uiPriority w:val="99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67" w:customStyle="1">
    <w:name w:val="ConsPlusNormal"/>
    <w:pPr>
      <w:spacing w:after="0" w:line="240" w:lineRule="auto"/>
      <w:widowControl w:val="off"/>
    </w:pPr>
    <w:rPr>
      <w:rFonts w:ascii="Arial" w:hAnsi="Arial" w:cs="Arial" w:eastAsiaTheme="minorEastAsia"/>
      <w:sz w:val="20"/>
      <w:szCs w:val="20"/>
      <w:lang w:eastAsia="ru-RU"/>
    </w:rPr>
  </w:style>
  <w:style w:type="paragraph" w:styleId="868">
    <w:name w:val="Header"/>
    <w:basedOn w:val="862"/>
    <w:link w:val="86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9" w:customStyle="1">
    <w:name w:val="Верхний колонтитул Знак"/>
    <w:basedOn w:val="863"/>
    <w:link w:val="868"/>
    <w:uiPriority w:val="99"/>
  </w:style>
  <w:style w:type="paragraph" w:styleId="870">
    <w:name w:val="Footer"/>
    <w:basedOn w:val="862"/>
    <w:link w:val="87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1" w:customStyle="1">
    <w:name w:val="Нижний колонтитул Знак"/>
    <w:basedOn w:val="863"/>
    <w:link w:val="870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consultantplus://offline/ref=42462BBB131931D53A84A8807762E72D5B9C40CEC8F5F12EAC3C77DD4BBD728ECAE1D320D61CA89558D45A59713F12A687EF5F22778E6E83FC4801EFh0E9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 Гузель Рафгатовна</dc:creator>
  <cp:keywords/>
  <dc:description/>
  <cp:revision>17</cp:revision>
  <dcterms:created xsi:type="dcterms:W3CDTF">2024-08-26T07:35:00Z</dcterms:created>
  <dcterms:modified xsi:type="dcterms:W3CDTF">2025-09-03T12:49:20Z</dcterms:modified>
</cp:coreProperties>
</file>