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16" w:before="0" w:after="0"/>
        <w:rPr>
          <w:rFonts w:ascii="Nimbus Roman" w:hAnsi="Nimbus Roman" w:cs="Nimbus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Nimbus Roman" w:cs="Nimbus Roman" w:ascii="Nimbus Roman" w:hAnsi="Nimbus Roman"/>
          <w:sz w:val="26"/>
          <w:szCs w:val="26"/>
        </w:rPr>
        <w:t xml:space="preserve">Об утверждении муниципальной программы </w:t>
      </w:r>
    </w:p>
    <w:p>
      <w:pPr>
        <w:pStyle w:val="Normal"/>
        <w:spacing w:lineRule="auto" w:line="216" w:before="0" w:after="0"/>
        <w:rPr>
          <w:rFonts w:ascii="Nimbus Roman" w:hAnsi="Nimbus Roman" w:cs="Nimbus Roman"/>
          <w:sz w:val="26"/>
          <w:szCs w:val="26"/>
        </w:rPr>
      </w:pPr>
      <w:r>
        <w:rPr>
          <w:rFonts w:eastAsia="Nimbus Roman" w:cs="Nimbus Roman" w:ascii="Nimbus Roman" w:hAnsi="Nimbus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lineRule="auto" w:line="216" w:before="0" w:after="0"/>
        <w:rPr>
          <w:rFonts w:ascii="Nimbus Roman" w:hAnsi="Nimbus Roman" w:cs="Nimbus Roman"/>
          <w:sz w:val="26"/>
          <w:szCs w:val="26"/>
        </w:rPr>
      </w:pPr>
      <w:r>
        <w:rPr>
          <w:rFonts w:eastAsia="Nimbus Roman" w:cs="Nimbus Roman" w:ascii="Nimbus Roman" w:hAnsi="Nimbus Roman"/>
          <w:sz w:val="26"/>
          <w:szCs w:val="26"/>
        </w:rPr>
        <w:t>на 2026 - 2028 годы»</w:t>
      </w:r>
    </w:p>
    <w:p>
      <w:pPr>
        <w:pStyle w:val="Normal"/>
        <w:spacing w:before="0" w:after="0"/>
        <w:rPr>
          <w:rFonts w:ascii="Nimbus Roman" w:hAnsi="Nimbus Roman" w:cs="Nimbus Roman"/>
          <w:sz w:val="26"/>
          <w:szCs w:val="26"/>
        </w:rPr>
      </w:pPr>
      <w:r>
        <w:rPr>
          <w:rFonts w:cs="Nimbus Roman" w:ascii="Nimbus Roman" w:hAnsi="Nimbus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lineRule="auto" w:line="216" w:before="0" w:after="0"/>
        <w:ind w:left="10" w:right="-1" w:firstLine="550"/>
        <w:jc w:val="both"/>
        <w:rPr>
          <w:rFonts w:ascii="Nimbus Roman" w:hAnsi="Nimbus Roman" w:cs="Nimbus Roman"/>
          <w:bCs/>
          <w:sz w:val="26"/>
          <w:szCs w:val="26"/>
        </w:rPr>
      </w:pPr>
      <w:r>
        <w:rPr>
          <w:rFonts w:cs="Nimbus Roman" w:ascii="Nimbus Roman" w:hAnsi="Nimbus Roman"/>
          <w:bCs/>
          <w:sz w:val="26"/>
          <w:szCs w:val="26"/>
        </w:rPr>
      </w:r>
    </w:p>
    <w:p>
      <w:pPr>
        <w:pStyle w:val="Normal"/>
        <w:spacing w:lineRule="auto" w:line="216" w:before="0" w:after="0"/>
        <w:jc w:val="center"/>
        <w:rPr>
          <w:rFonts w:ascii="Nimbus Roman" w:hAnsi="Nimbus Roman" w:cs="Nimbus Roman"/>
          <w:bCs/>
          <w:sz w:val="26"/>
          <w:szCs w:val="26"/>
        </w:rPr>
      </w:pPr>
      <w:r>
        <w:rPr>
          <w:rFonts w:eastAsia="Nimbus Roman" w:cs="Nimbus Roman" w:ascii="Nimbus Roman" w:hAnsi="Nimbus Roman"/>
          <w:bCs/>
          <w:sz w:val="26"/>
          <w:szCs w:val="26"/>
          <w:lang w:eastAsia="ja-JP" w:bidi="ne-NP"/>
        </w:rPr>
        <w:t>ПОСТАНОВЛЯЮ:</w:t>
      </w:r>
    </w:p>
    <w:p>
      <w:pPr>
        <w:pStyle w:val="Normal"/>
        <w:spacing w:lineRule="auto" w:line="216" w:before="0" w:after="0"/>
        <w:jc w:val="both"/>
        <w:rPr>
          <w:rFonts w:ascii="Nimbus Roman" w:hAnsi="Nimbus Roman" w:cs="Nimbus Roman"/>
          <w:sz w:val="26"/>
          <w:szCs w:val="26"/>
        </w:rPr>
      </w:pPr>
      <w:r>
        <w:rPr>
          <w:rFonts w:cs="Nimbus Roman" w:ascii="Nimbus Roman" w:hAnsi="Nimbus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16" w:before="0" w:after="0"/>
        <w:ind w:left="0" w:firstLine="567"/>
        <w:contextualSpacing/>
        <w:jc w:val="both"/>
        <w:rPr>
          <w:rFonts w:ascii="Nimbus Roman" w:hAnsi="Nimbus Roman" w:cs="Nimbus Roman"/>
          <w:sz w:val="26"/>
          <w:szCs w:val="26"/>
        </w:rPr>
      </w:pPr>
      <w:r>
        <w:rPr>
          <w:rFonts w:eastAsia="Nimbus Roman" w:cs="Nimbus Roman" w:ascii="Nimbus Roman" w:hAnsi="Nimbus Roman"/>
          <w:sz w:val="26"/>
          <w:szCs w:val="26"/>
        </w:rPr>
        <w:t xml:space="preserve"> </w:t>
      </w:r>
      <w:r>
        <w:rPr>
          <w:rFonts w:eastAsia="Nimbus Roman" w:cs="Nimbus Roman" w:ascii="Nimbus Roman" w:hAnsi="Nimbus Roman"/>
          <w:sz w:val="26"/>
          <w:szCs w:val="26"/>
        </w:rPr>
        <w:t>Утвердить муниципальную программу «Развитие системы образования города Набережные Челны на 2026 -2028 годы» согласно приложению.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</w:rPr>
        <w:t>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2026-2028 годы» за счет средств, предусмотренных в бюджете города по разделу (подразделу) «Образование» в размере на 2026 год – 14872241,14 тысяч рублей, 2027 год – 15960081,71 тысяч рублей, 2028 год – 15960081,71 тысяч рублей.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cs="Nimbus Roman"/>
          <w:sz w:val="26"/>
          <w:szCs w:val="26"/>
        </w:rPr>
      </w:pPr>
      <w:r>
        <w:rPr>
          <w:rFonts w:eastAsia="Nimbus Roman" w:cs="Nimbus Roman" w:ascii="Nimbus Roman" w:hAnsi="Nimbus Roman"/>
          <w:sz w:val="26"/>
          <w:szCs w:val="26"/>
        </w:rPr>
        <w:t xml:space="preserve">3. Управлению делопроизводством Исполнительного комитета обеспечить официальное опубликование настоящего постановления </w:t>
      </w:r>
      <w:r>
        <w:rPr>
          <w:rFonts w:eastAsia="Nimbus Roman" w:cs="Nimbus Roman" w:ascii="Nimbus Roman" w:hAnsi="Nimbus Roman"/>
          <w:sz w:val="26"/>
          <w:szCs w:val="26"/>
        </w:rPr>
        <w:t>и размещение его</w:t>
      </w:r>
      <w:r>
        <w:rPr>
          <w:rFonts w:eastAsia="Nimbus Roman" w:cs="Nimbus Roman" w:ascii="Nimbus Roman" w:hAnsi="Nimbus Roman"/>
          <w:sz w:val="26"/>
          <w:szCs w:val="26"/>
        </w:rPr>
        <w:t xml:space="preserve">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cs="Nimbus Roman"/>
          <w:sz w:val="26"/>
          <w:szCs w:val="26"/>
          <w:highlight w:val="none"/>
        </w:rPr>
      </w:pPr>
      <w:r>
        <w:rPr>
          <w:rFonts w:eastAsia="Nimbus Roman" w:cs="Nimbus Roman" w:ascii="Nimbus Roman" w:hAnsi="Nimbus Roman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0" w:right="0" w:firstLine="567"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0" w:right="0" w:firstLine="567"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</w:rPr>
        <w:t>Руководитель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</w:rPr>
        <w:t>Исполнительного комитета                                                                        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nil" w:color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к постановлению</w:t>
      </w:r>
    </w:p>
    <w:p>
      <w:pPr>
        <w:pStyle w:val="Normal"/>
        <w:spacing w:lineRule="auto" w:line="240" w:before="0" w:after="0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Исполнительного комитета</w:t>
      </w:r>
    </w:p>
    <w:p>
      <w:pPr>
        <w:pStyle w:val="Normal"/>
        <w:spacing w:lineRule="auto" w:line="240" w:before="0" w:after="0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 № _______</w:t>
      </w:r>
    </w:p>
    <w:p>
      <w:pPr>
        <w:pStyle w:val="Normal"/>
        <w:spacing w:lineRule="auto" w:line="240" w:before="0" w:after="0"/>
        <w:ind w:firstLine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Муниципальная программа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системы образования города Набережные Челны на 2026-2028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Глава 1. Паспорт муниципальной программы «Развитие системы образования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города Набережные Челны на 2026-2028 годы».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992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836"/>
        <w:gridCol w:w="1418"/>
        <w:gridCol w:w="1419"/>
        <w:gridCol w:w="1418"/>
        <w:gridCol w:w="1414"/>
        <w:gridCol w:w="1420"/>
      </w:tblGrid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  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«Развитие системы образования города Набережные Челны на 2026-2028 годы» (далее – Программа)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Основание    для разработки  Программы (наименование, номер и дата  правового акта)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Федеральны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й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Устав города Набережные Челны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Основные разработчики 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Управление образования Исполнительного комитета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Исполнители 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Управление образования Исполнительного комитета, муниципальные образовательные учреждения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="0" w:after="0"/>
              <w:ind w:hanging="6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</w:p>
        </w:tc>
      </w:tr>
      <w:tr>
        <w:trPr>
          <w:trHeight w:val="5292" w:hRule="atLeast"/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условия для обеспечения качества образования на основе преемственности образовательных программ на всех уровнях общего образования;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эффективную систему психологического сопровождения образовательного процесса на всех уровнях образования;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условия для развития творческой индивидуальности личности и социализации;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200"/>
              <w:ind w:left="37" w:firstLine="32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потребности отрасли в компетентных, высококвалифицированных специалистах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Сроки  и   этапы реализации Программы</w:t>
            </w:r>
          </w:p>
        </w:tc>
        <w:tc>
          <w:tcPr>
            <w:tcW w:w="7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2026-2028 годы</w:t>
            </w:r>
          </w:p>
        </w:tc>
      </w:tr>
      <w:tr>
        <w:trPr>
          <w:cantSplit w:val="true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Объемы  и источники       финансирования  Программы с разбивкой по годам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    финансирования</w:t>
            </w:r>
          </w:p>
        </w:tc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83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2026 год (тыс. рублей)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2027 год  (тыс. рублей)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2028 год  (тыс. рублей)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836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14872241,14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15960081,71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15960081,71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46792404,56</w:t>
            </w:r>
          </w:p>
        </w:tc>
      </w:tr>
      <w:tr>
        <w:trPr>
          <w:cantSplit w:val="true"/>
        </w:trPr>
        <w:tc>
          <w:tcPr>
            <w:tcW w:w="2836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cantSplit w:val="true"/>
        </w:trPr>
        <w:tc>
          <w:tcPr>
            <w:tcW w:w="2836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cantSplit w:val="true"/>
        </w:trPr>
        <w:tc>
          <w:tcPr>
            <w:tcW w:w="28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14872241,14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15960081,71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15960081,71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46792404,56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Ожидаемые результаты  реализации Программы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 показатели  эффективности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результаты реализации Программы: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удовлетворенности потребителей качеством образования;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37" w:firstLine="2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образования на основе формирования новых образовательных результатов обучающихся в соответствии с требованиями времени; нового статуса и профессионализма учителя, новой образовательной среды – с учетом потребностей всех категорий обучающихся;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567" w:leader="none"/>
              </w:tabs>
              <w:ind w:left="37" w:firstLine="2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социального партнерства  в городской системе образования;</w:t>
            </w:r>
          </w:p>
          <w:p>
            <w:pPr>
              <w:pStyle w:val="ListParagraph"/>
              <w:widowControl w:val="false"/>
              <w:ind w:left="0" w:firstLine="1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4) насыщение рынка труда квалифицированными кадрами, способными работать в условиях перехода к инновационной экономике;</w:t>
            </w:r>
          </w:p>
          <w:p>
            <w:pPr>
              <w:pStyle w:val="ListParagraph"/>
              <w:widowControl w:val="false"/>
              <w:spacing w:before="0" w:after="200"/>
              <w:ind w:left="0" w:firstLine="178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5) применение подушевого финансирования и обеспечение проектной мощности образовательных учреждений</w:t>
            </w:r>
          </w:p>
        </w:tc>
      </w:tr>
      <w:tr>
        <w:trPr>
          <w:cantSplit w:val="true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Система  организации контроля за реализацией  Программы</w:t>
            </w:r>
          </w:p>
        </w:tc>
        <w:tc>
          <w:tcPr>
            <w:tcW w:w="708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исполнением Программы осуществляет управление образования Исполнительного комитета</w:t>
            </w:r>
          </w:p>
        </w:tc>
      </w:tr>
    </w:tbl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2. Содержание проблемы и обоснование необходимости ее решения </w:t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программным методом</w:t>
      </w:r>
    </w:p>
    <w:p>
      <w:pPr>
        <w:pStyle w:val="ListParagraph"/>
        <w:jc w:val="center"/>
        <w:rPr>
          <w:rFonts w:ascii="Times New Roman" w:hAnsi="Times New Roman"/>
        </w:rPr>
      </w:pPr>
      <w:r>
        <w:rPr/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системы образования города осуществляется в соответствии с главной стратегической целью – о</w:t>
      </w:r>
      <w:r>
        <w:rPr>
          <w:rFonts w:ascii="Times New Roman" w:hAnsi="Times New Roman"/>
          <w:color w:val="000000" w:themeColor="text1"/>
        </w:rPr>
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>
        <w:rPr>
          <w:rFonts w:ascii="Times New Roman" w:hAnsi="Times New Roman"/>
        </w:rPr>
        <w:t>, создание безопасной среды для обучающихся и воспитанников образовательных организаций города. В результате в городе сложилась структура управления системой образования, обеспечивающая ее стабильное развитие на основе программно-целевого подхода.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модернизации и решения приоритетного национального проекта «Образование» были достигнуты следующие результаты:</w:t>
      </w:r>
    </w:p>
    <w:p>
      <w:pPr>
        <w:pStyle w:val="ListParagraph"/>
        <w:numPr>
          <w:ilvl w:val="0"/>
          <w:numId w:val="6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ускорился процесс обновления содержания образования при помощи расширения тем и перечня учебных курсов, введение социальных интегрированных модулей, широкого использования исследовательской и проектной деятельности как средств интеграции содержания образования;</w:t>
      </w:r>
    </w:p>
    <w:p>
      <w:pPr>
        <w:pStyle w:val="ListParagraph"/>
        <w:numPr>
          <w:ilvl w:val="0"/>
          <w:numId w:val="6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 информационных и компьютерных технологий в виде мультимедийных курсов, мульти- и видеотек, электронных ресурсов и образовательных порталов;</w:t>
      </w:r>
    </w:p>
    <w:p>
      <w:pPr>
        <w:pStyle w:val="ListParagraph"/>
        <w:numPr>
          <w:ilvl w:val="0"/>
          <w:numId w:val="6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происходит обогащение образования активными формами обучения – конференциями, слетами, учебными играми, проектами, фестивалями научных обществ; </w:t>
      </w:r>
    </w:p>
    <w:p>
      <w:pPr>
        <w:pStyle w:val="ListParagraph"/>
        <w:numPr>
          <w:ilvl w:val="0"/>
          <w:numId w:val="6"/>
        </w:numPr>
        <w:shd w:val="clear" w:color="auto" w:fill="FFFFFF" w:themeFill="background1"/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городском уровне ведется разработка системы мониторинга для управления качеством образования;</w:t>
      </w:r>
    </w:p>
    <w:p>
      <w:pPr>
        <w:pStyle w:val="ListParagraph"/>
        <w:numPr>
          <w:ilvl w:val="0"/>
          <w:numId w:val="6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максимальной реализации запросов и ожиданий потребителей расширяются формы государственно-общественного управления (наблюдательные, попечительские советы, советы школ), сформированы городской родительский комитет, Детская городская Дума, Совет молодых специалистов;</w:t>
      </w:r>
    </w:p>
    <w:p>
      <w:pPr>
        <w:pStyle w:val="ListParagraph"/>
        <w:numPr>
          <w:ilvl w:val="0"/>
          <w:numId w:val="6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проведена реорганизация образовательных организаций начального и среднего профессионального образования, созданы образовательные кластеры.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Достигнуто новое качество информатизации образовательных организаций города: к высокоскоростной сети Интернет за счет федерального бюджета подключены все образовательные организации города. 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городе осуществляется системная работа по повышению престижа педагогического труда (проводятся конкурсы).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создания условий для комплексной безопасности обучающихся и воспитанников все учреждения оснащены внешним видеонаблюдением. Системой автоматизированной пожарной сигнализации оборудованы все образовательные организации.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Вместе с тем, предстоит решить ряд проблем по следующим направлениям:</w:t>
      </w:r>
    </w:p>
    <w:p>
      <w:pPr>
        <w:pStyle w:val="ListParagraph"/>
        <w:numPr>
          <w:ilvl w:val="0"/>
          <w:numId w:val="7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согласование содержания образования с федеральным государственным образовательным стандартом (далее - ФГОС);</w:t>
      </w:r>
    </w:p>
    <w:p>
      <w:pPr>
        <w:pStyle w:val="ListParagraph"/>
        <w:numPr>
          <w:ilvl w:val="0"/>
          <w:numId w:val="7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в образовательных организациях новой образовательной среды в соответствии с компетентностным, системно - деятельностным подходом;</w:t>
      </w:r>
    </w:p>
    <w:p>
      <w:pPr>
        <w:pStyle w:val="ListParagraph"/>
        <w:numPr>
          <w:ilvl w:val="0"/>
          <w:numId w:val="7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перестройка системы подготовки и переподготовки педагогических кадров;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городской системы оценки качества образования в соответствии с ФГОС;</w:t>
      </w:r>
    </w:p>
    <w:p>
      <w:pPr>
        <w:pStyle w:val="ListParagraph"/>
        <w:numPr>
          <w:ilvl w:val="0"/>
          <w:numId w:val="7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научное, научно-методическое, психологическое, информационное обеспечение и сопровождение системы образования города в условиях реализации программы развития образования.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причин разработки программы.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реализации идей концепции модернизации российского образования возникла необходимость разработки программы развития системы образования, чтобы осуществить: 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образования;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реализацию предпрофильного и профильного образования;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организацию работы с одаренными детьми;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внедрение ФГОС для детей с ограниченными возможностями здоровья;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осуществления инклюзивного образования;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подготовку высококвалифицированных педагогических кадров.</w:t>
      </w:r>
    </w:p>
    <w:p>
      <w:pPr>
        <w:pStyle w:val="ListParagraph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3. Основные цели и задачи программы</w:t>
      </w:r>
    </w:p>
    <w:p>
      <w:pPr>
        <w:pStyle w:val="ListParagraph"/>
        <w:jc w:val="center"/>
        <w:rPr>
          <w:rFonts w:ascii="Times New Roman" w:hAnsi="Times New Roman"/>
        </w:rPr>
      </w:pPr>
      <w:r>
        <w:rPr/>
      </w:r>
    </w:p>
    <w:p>
      <w:pPr>
        <w:pStyle w:val="ListParagraph"/>
        <w:ind w:left="0"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Главная цель Программы - обеспечение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</w:r>
    </w:p>
    <w:p>
      <w:pPr>
        <w:pStyle w:val="ListParagraph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по направлениям: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дошкольном образовании –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общем образовании – создать условия для обеспечения качества образования на основе преемственности образовательных программ на всех уровнях общего образования;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психологическом обеспечении образования – создать эффективную систему психологического сопровождения образования; 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работе с одаренными детьми и молодежью –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дополнительном образовании детей и молодежи – обеспечить условия для развития творческой индивидуальности личности и социализации;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учебно-методическом сопровождении -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кадровой политике – обеспечить потребности отрасли в компетентных, высококвалифицированных специалистах.</w:t>
      </w:r>
    </w:p>
    <w:p>
      <w:pPr>
        <w:pStyle w:val="ListParagraph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3626" w:leader="none"/>
        </w:tabs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4. Сроки и этапы реализации Программы</w:t>
      </w:r>
    </w:p>
    <w:p>
      <w:pPr>
        <w:pStyle w:val="ListParagraph"/>
        <w:tabs>
          <w:tab w:val="clear" w:pos="708"/>
          <w:tab w:val="left" w:pos="3626" w:leader="none"/>
        </w:tabs>
        <w:spacing w:before="0" w:after="0"/>
        <w:contextualSpacing/>
        <w:jc w:val="center"/>
        <w:rPr>
          <w:rFonts w:ascii="Times New Roman" w:hAnsi="Times New Roman"/>
        </w:rPr>
      </w:pPr>
      <w:r>
        <w:rPr/>
      </w:r>
    </w:p>
    <w:tbl>
      <w:tblPr>
        <w:tblStyle w:val="919"/>
        <w:tblpPr w:bottomFromText="0" w:horzAnchor="margin" w:leftFromText="180" w:rightFromText="180" w:tblpX="0" w:tblpXSpec="left" w:tblpY="147" w:topFromText="0" w:vertAnchor="text"/>
        <w:tblW w:w="103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3"/>
        <w:gridCol w:w="3931"/>
        <w:gridCol w:w="5864"/>
      </w:tblGrid>
      <w:tr>
        <w:trPr/>
        <w:tc>
          <w:tcPr>
            <w:tcW w:w="51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п/п</w:t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Наименование этапа</w:t>
            </w:r>
          </w:p>
        </w:tc>
        <w:tc>
          <w:tcPr>
            <w:tcW w:w="586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Период реализации</w:t>
            </w:r>
          </w:p>
        </w:tc>
      </w:tr>
      <w:tr>
        <w:trPr/>
        <w:tc>
          <w:tcPr>
            <w:tcW w:w="5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Реализация Программы</w:t>
            </w:r>
          </w:p>
        </w:tc>
        <w:tc>
          <w:tcPr>
            <w:tcW w:w="586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2026-2028 годы</w:t>
            </w:r>
          </w:p>
        </w:tc>
      </w:tr>
      <w:tr>
        <w:trPr/>
        <w:tc>
          <w:tcPr>
            <w:tcW w:w="5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</w:r>
          </w:p>
        </w:tc>
        <w:tc>
          <w:tcPr>
            <w:tcW w:w="393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Подведение итогов</w:t>
            </w:r>
          </w:p>
        </w:tc>
        <w:tc>
          <w:tcPr>
            <w:tcW w:w="586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кв. 2028 года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5. Объемы и источники финансирования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Объем финансирования Программы на 2026-2028 годы составляет 46792404,56 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за период 46792404,56 тыс. рублей, в том числе по годам реализации 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2026 год – 14872241,14 тыс. рублей, 2027 год – 15960081,71 тыс. рублей, 2028 год – 15960081,71 тыс. рублей.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6. Механизмы реализации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реализации Программы муниципальный заказчик-координатор (управление образования Исполнительного комитета)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>Для проведения текущего мониторинга реализации муниципальных программ координатор Программы направляет в управление финансов Исполнительного комитета и в управление экономического развития и поддержки предпринимательства Исполнительного комитета ежегодно, до 1 февраля года, следующего за отчетным периодом – отчет о ходе реализации, оценку эффективности и результативности реализации 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7. Оценка экономической и социальной эффективности Программы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реализации Программы развития системы образования города Набережные Челны являются: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рост удовлетворенности потребителей качеством образования;</w:t>
      </w:r>
    </w:p>
    <w:p>
      <w:pPr>
        <w:pStyle w:val="ListParagraph"/>
        <w:numPr>
          <w:ilvl w:val="0"/>
          <w:numId w:val="9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качества образования на основе формирования новых образовательных результатов обучающихся в соответствии с требованиями времени; нового статуса и профессионализма учителя, новой образовательной среды – с учетом потребностей всех категорий обучающихся;</w:t>
      </w:r>
    </w:p>
    <w:p>
      <w:pPr>
        <w:pStyle w:val="ListParagraph"/>
        <w:numPr>
          <w:ilvl w:val="0"/>
          <w:numId w:val="9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расширение социального партнерства  в городской системе образования.</w:t>
      </w:r>
    </w:p>
    <w:p>
      <w:pPr>
        <w:pStyle w:val="ListParagraph"/>
        <w:numPr>
          <w:ilvl w:val="0"/>
          <w:numId w:val="9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насыщение рынка труда квалифицированными кадрами, способными работать в условиях перехода к инновационной экономике; </w:t>
      </w:r>
    </w:p>
    <w:p>
      <w:pPr>
        <w:pStyle w:val="ListParagraph"/>
        <w:numPr>
          <w:ilvl w:val="0"/>
          <w:numId w:val="9"/>
        </w:numPr>
        <w:ind w:left="0"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применение подушевого финансирования и обеспечение проектной мощности образовательных учреждений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left="927" w:hang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8. Индикаторы оценки результативности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7"/>
        <w:gridCol w:w="3083"/>
        <w:gridCol w:w="3153"/>
        <w:gridCol w:w="336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источники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 учащихся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детей 2-11 классов, имеющих удовлетворительные результаты;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детей 2-11 классов,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знаний обучающихся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детей 2-11 классов, обучающихся на отметку «отлично» и «хорошо»;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детей 2-11 классов,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родителей, удовлетворенных условиями и качеством предоставляемой услуги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родителей, удовлетворенных качеством предоставляемой услуги;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родителей детей,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обучающихся начальной школы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выпускников 9 классов, успешно прошедших государственную итоговую аттестацию;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выпускников 9 классов, сдававших экзамены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 по результатам государственной итоговой аттестации по общеобразовательным программам среднего общего образования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выпускников 11 классов, получивших 100 баллов, 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выпускников 11 классов, сдававших экзамены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выпускников, освоивших общеобразовательную программу основного общего образования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выпускников 9 классов, получивших аттестат по итогам государственной итоговой аттестации;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выпускников 9 классов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выпускников, освоивших общеобразовательную программу среднего общего образования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выпускников 11 классов, получивших аттестат по итогам государственной итоговой аттестации;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выпускников 11 классов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ФГОС.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Форма 73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обеспеченных индивидуальным медико-социальным и психолого-педагогическим сопровождением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детей, получающих психолого-медико-социальное сопровождение;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 данных детей с ограниченными возможностями здоровья  Министерства образования и науки Республики Татарстан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различного уровня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>обучающихся общеобразовательных организаций, участвующих в конкурсах;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ОО-1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победителей и призеров регионального этапа всероссийской и заключительного этапа республиканской олимпиад школьников;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обучающихся, участвовавших в олимпиадах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17 «Анализ банка одаренных»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различного уровня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>победителей и призеров фестивалей и конкурсов;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5" w:leader="none"/>
                <w:tab w:val="left" w:pos="611" w:leader="none"/>
                <w:tab w:val="left" w:pos="863" w:leader="none"/>
              </w:tabs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конкурсах, конференциях и иных методических мероприятиях по повышению профмастерства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>педагогов, участвующих в конкурсах и конференциях;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73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местами в дошкольных образовательных организациях  детей от 1,5 до 7 лет через автоматическую информационную систему (далее - АИС) «Электронный детский сад»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– количество детей принятых в детский сад;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В– общее количество детей,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АИС «Электронный детский сад»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имеющих квалификационные категории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– количество педагогов, имеющих квалификационные категории;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В– общее количество педагогов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Форма 73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участвующих в экспериментальной деятельности, инновационных проектах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 xml:space="preserve">педагогов, </w:t>
            </w:r>
            <w:r>
              <w:rPr>
                <w:rFonts w:ascii="Times New Roman" w:hAnsi="Times New Roman"/>
              </w:rPr>
              <w:t>участвующих в  научно-экспериментальной деятельности, инновационных проектах;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«Об утверждении стандарта качества муниципальной услуги по предоставлению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школьников льготным горячим питанием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- количество детей из многодетных семей, получающих горячее питание;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- количество детей школьного возраста из семей, имеющих 4 и более детей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муниципального образования город Набережные Челны «О мерах по организации предоставления бесплатного питания обучающимся в муниципальных общеобразовательных организациях, нуждающихся в дополнительной социальной поддержке»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ограниченными возможностями здоровья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детей с расстройством аутистического спектра</w:t>
            </w:r>
            <w:r>
              <w:rPr>
                <w:rFonts w:ascii="Times New Roman" w:hAnsi="Times New Roman"/>
                <w:lang w:val="tt-RU"/>
              </w:rPr>
              <w:t>, требующих специальных условий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детей школьного возраста с расстройством аутистического спектра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ограниченными возможностями здоровья (далее - ОВЗ)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образовательных учреждений, оснащенных техническими средствами перемещения в здании для инвалидов и людей с ОВЗ;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 количество образовательных учреждений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ограниченными возможностями здоровья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детей с ограниченными возможностями здоровья дошкольного возраста, требующих специальных форм образования;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детей дошкольного возраста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</w:t>
            </w:r>
            <w:r>
              <w:rPr>
                <w:rFonts w:ascii="Times New Roman" w:hAnsi="Times New Roman"/>
                <w:lang w:val="tt-RU"/>
              </w:rPr>
              <w:t>учащихся образовательных организаций, принимающих участие   в несении Вахты памяти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количество учащихся в 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управления образования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 утверждении городских программ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>*100%, где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образовательных организаций, участвовавших в конкурсе проектов по развитию образовательных организаций города;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</w:rPr>
              <w:t xml:space="preserve"> –  количество образовательных организаций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о выплате денежного поощрения руководителям образовательных организаций – победителям конкурса проектов по развитию муниципальных образовательных организаций города Набережные Челны</w:t>
            </w:r>
          </w:p>
        </w:tc>
      </w:tr>
    </w:tbl>
    <w:p>
      <w:pPr>
        <w:pStyle w:val="Normal"/>
        <w:spacing w:lineRule="auto" w:line="240" w:before="0" w:after="0"/>
        <w:ind w:left="927" w:hang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</w:t>
            </w:r>
          </w:p>
        </w:tc>
      </w:tr>
      <w:tr>
        <w:trPr>
          <w:trHeight w:val="1841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через АИС «Электронный детский сад»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5474085,49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5912241,07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5912241,07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Nimbus Roman" w:hAnsi="Nimbus Roman" w:cs="Nimbus Roman"/>
                <w:sz w:val="22"/>
                <w:szCs w:val="22"/>
              </w:rPr>
            </w:pPr>
            <w:r>
              <w:rPr>
                <w:rFonts w:eastAsia="Nimbus Roman" w:cs="Nimbus Roman" w:ascii="Nimbus Roman" w:hAnsi="Nimbus Roman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93406,24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93406,24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93406,24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Федеральных 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7979875,65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8509116,50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8509116,50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56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13344,04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13344,04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13344,04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154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11,25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744,03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обеспеченных индивидуальным медико-социальным и психолого-педагогическим сопровождением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17917,73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19664,64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19664,64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eastAsia="Nimbus Roman" w:cs="Nimbus Roman" w:ascii="Nimbus Roman" w:hAnsi="Nimbus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школьников в предметных олимпиадах различного уровня.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4113,70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4113,70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4113,70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154890,90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166910,13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166910,13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5546,8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5546,8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5546,8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различного 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419,20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419,20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различного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751662,18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824867,03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824867,03</w:t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341198,01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372292,79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372292,79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  <w:bCs/>
              </w:rPr>
            </w:pPr>
            <w:r>
              <w:rPr>
                <w:rFonts w:eastAsia="Nimbus Roman" w:cs="Nimbus Roman" w:ascii="Nimbus Roman" w:hAnsi="Nimbus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  <w:bCs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25116,87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27495,24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27495,24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профессиональных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поощрение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конкурсах, конференциях и иных методических мероприятиях по повышению профмастерства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2506,48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2506,48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2506,48</w:t>
            </w:r>
          </w:p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5"/>
        <w:gridCol w:w="2386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2026 год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2027 год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2028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8 013 963,72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8 543 204,57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8 543 204,57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154 890,90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166 910,13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166 910,13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341 198,01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372 292,79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372 292,79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751 662, 18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824 867,03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824 867,03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25 116,87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27 495,24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27 495,24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17 917,73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19 664,64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19 664,64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5 567 491,73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6 005 647,31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6 005 647,31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14 872 241,14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15 960 081,71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15 960 081,71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6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4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LibreOffice/7.5.6.2$Linux_X86_64 LibreOffice_project/50$Build-2</Application>
  <AppVersion>15.0000</AppVersion>
  <Pages>19</Pages>
  <Words>3791</Words>
  <Characters>30202</Characters>
  <CharactersWithSpaces>34047</CharactersWithSpaces>
  <Paragraphs>603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dcterms:modified xsi:type="dcterms:W3CDTF">2025-09-17T15:44:59Z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