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left="7938" w:hanging="0"/>
        <w:outlineLvl w:val="1"/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left="7938" w:hanging="0"/>
        <w:outlineLvl w:val="1"/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Об утверждении муниципальной программы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«Поддержка социально ориентированных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некоммерческих организаций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города Набережные Челны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на 2026-2028 годы»</w:t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В соответствии с Указом Президента Республики Татарстан от 26.07.2013 № УП-695 «О Концепции государственной национальной политики в Республике Татарстан»,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программ», в целях поддержки и развития  социально ориентированных некоммерческих организаций, осуществляющих свою деятельность на территории муниципального образования город Набережные Челны </w:t>
      </w:r>
    </w:p>
    <w:p>
      <w:pPr>
        <w:pStyle w:val="Normal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 О С Т А Н О В Л Я Ю: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uto" w:line="276" w:before="0" w:after="0"/>
        <w:ind w:left="0" w:right="0" w:hanging="0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Утвердить муниципальную программу «Поддержка социально ориентированных некоммерческих организаций города Набережные Челны на 2026-2028 годы» согласно приложению.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Управлению финансов Исполнительного комитета обеспечить финансирование мероприятий муниципальной программы «Поддержка социально ориентированных некоммерческих организаций города Набережные Челны на 2026-2028 годы» за счет средств бюджета города по разделу (подразделу) 01.13 «Другие общегосударственные вопросы» в размере 45481,4 тыс. рублей: 2026 год – 15143,03 тыс. рублей, 2027 год – 15162,02 тыс. рублей, 2028 год – 15176,35 тыс. рублей. 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Управлению делопроизводством Исполнительного комитета обеспечить опубликование настоящего постановления и его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4.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Кропотову Н.А., заместителя Руководителя Исполнительного комитета, начальника управления финансов Мулюкову С.Р.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Руководитель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Исполнительного комитета                                                                                 Ф.Ш. Салахов</w:t>
      </w:r>
    </w:p>
    <w:p>
      <w:pPr>
        <w:pStyle w:val="Normal"/>
        <w:spacing w:lineRule="auto" w:line="240" w:before="0" w:after="0"/>
        <w:ind w:left="6096" w:hanging="284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ind w:left="5387" w:firstLine="74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Приложение </w:t>
      </w:r>
    </w:p>
    <w:p>
      <w:pPr>
        <w:pStyle w:val="Normal"/>
        <w:spacing w:before="0" w:after="0"/>
        <w:ind w:left="5387" w:firstLine="74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к постановлению</w:t>
      </w:r>
    </w:p>
    <w:p>
      <w:pPr>
        <w:pStyle w:val="Normal"/>
        <w:spacing w:before="0" w:after="0"/>
        <w:ind w:left="5387" w:firstLine="74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Исполнительного комитета </w:t>
      </w:r>
    </w:p>
    <w:p>
      <w:pPr>
        <w:pStyle w:val="Normal"/>
        <w:spacing w:before="0" w:after="0"/>
        <w:ind w:left="5387" w:firstLine="74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от «___» ___________2025 № ____</w:t>
      </w:r>
    </w:p>
    <w:p>
      <w:pPr>
        <w:pStyle w:val="Normal"/>
        <w:ind w:left="5676" w:firstLine="348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Глава 1. Паспорт муниципальной программы «Поддержка социально ориентированных некоммерческих организаций города Набережные Челны на 2026-2028 годы»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left="0" w:hanging="0"/>
        <w:jc w:val="center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tbl>
      <w:tblPr>
        <w:tblW w:w="10139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692"/>
        <w:gridCol w:w="2485"/>
        <w:gridCol w:w="1134"/>
        <w:gridCol w:w="1137"/>
        <w:gridCol w:w="1141"/>
        <w:gridCol w:w="1549"/>
      </w:tblGrid>
      <w:tr>
        <w:trPr>
          <w:trHeight w:val="914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jc w:val="both"/>
              <w:outlineLvl w:val="1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sz w:val="28"/>
                <w:szCs w:val="28"/>
                <w:lang w:eastAsia="ru-RU"/>
              </w:rPr>
              <w:t>Муниципальная программа «Поддержка социально ориентированных некоммерческих организаций города Набережные Челны на 2026-2028 годы»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(далее - Программа)</w:t>
            </w:r>
          </w:p>
        </w:tc>
      </w:tr>
      <w:tr>
        <w:trPr>
          <w:trHeight w:val="2864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Основание    для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разработки Программы (наименование, номер и дата правового акта)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jc w:val="both"/>
              <w:outlineLvl w:val="1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sz w:val="28"/>
                <w:szCs w:val="28"/>
                <w:lang w:eastAsia="ru-RU"/>
              </w:rPr>
              <w:t>Федеральный закон от 12.01.1996 № 7-ФЗ «О некоммерческих организациях», Федеральный закон от 05.04.2010 № 40-ФЗ «О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организаций», постановление Исполнительного комитета от 11.09.2017 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>
          <w:trHeight w:val="882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Основные разработчики Программы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Управление экономического развития и поддержки предпринимательства Исполнительного комитета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ind w:left="0" w:hanging="0"/>
              <w:jc w:val="both"/>
              <w:outlineLvl w:val="1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sz w:val="28"/>
                <w:szCs w:val="28"/>
                <w:lang w:eastAsia="ru-RU"/>
              </w:rPr>
            </w:r>
          </w:p>
        </w:tc>
      </w:tr>
      <w:tr>
        <w:trPr>
          <w:trHeight w:val="2301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Отраслевые (функциональные) органы Исполнительного комитета: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молодежи,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земельных и имущественных отношений,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физической культуры и спорта,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информационной политики и по связям с общественностью,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 районов Исполнительного комитета</w:t>
            </w:r>
          </w:p>
        </w:tc>
      </w:tr>
      <w:tr>
        <w:trPr/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города Набережные Челны, сохранении общественно-политической стабильности и этноконфессионального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</w:t>
            </w:r>
          </w:p>
        </w:tc>
      </w:tr>
      <w:tr>
        <w:trPr/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57" w:right="113" w:firstLine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Развитие механизмов оказания имущественной, финансовой, информационной и консультативной поддержки социально ориентированным некоммерческим организациям.</w:t>
            </w:r>
          </w:p>
          <w:p>
            <w:pPr>
              <w:pStyle w:val="ConsPlusNormal"/>
              <w:widowControl w:val="false"/>
              <w:ind w:left="57" w:right="113" w:firstLine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Популяризация деятельности социально ориентированных некоммерческих организаций в средствах массовой информации.</w:t>
            </w:r>
          </w:p>
          <w:p>
            <w:pPr>
              <w:pStyle w:val="ConsPlusNormal"/>
              <w:widowControl w:val="false"/>
              <w:ind w:left="57" w:right="113" w:firstLine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Оказание помощи социально ориентированным некоммерческим организациям в проведении городских мероприятий по развитию дополнительного образования, популяризации здорового образа жизни и массового спорта, патриотическому воспитанию детей и молодежи.</w:t>
            </w:r>
          </w:p>
          <w:p>
            <w:pPr>
              <w:pStyle w:val="ConsPlusNormal"/>
              <w:widowControl w:val="false"/>
              <w:ind w:left="57" w:right="113" w:firstLine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Совершенствование форм поддержки деятельности СОНКО, направленных на профилактику социально опасных форм поведения граждан, социальную реабилитацию лиц, находящихся в трудной жизненной ситуации</w:t>
            </w:r>
          </w:p>
        </w:tc>
      </w:tr>
      <w:tr>
        <w:trPr/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2026 - 2028 годы.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Этапы реализации не выделяются</w:t>
            </w:r>
          </w:p>
        </w:tc>
      </w:tr>
      <w:tr>
        <w:trPr>
          <w:trHeight w:val="425" w:hRule="atLeast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Объемы и источники       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финансирования  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Программы с разбивкой по годам 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Источник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финансирования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Годы реализации программы</w:t>
            </w:r>
          </w:p>
        </w:tc>
      </w:tr>
      <w:tr>
        <w:trPr>
          <w:trHeight w:val="626" w:hRule="atLeast"/>
        </w:trPr>
        <w:tc>
          <w:tcPr>
            <w:tcW w:w="2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 (тыс. руб.)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2027 (тыс. руб.)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2028 (тыс. руб.)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Всего за период реализации (тыс. руб.)</w:t>
            </w:r>
          </w:p>
        </w:tc>
      </w:tr>
      <w:tr>
        <w:trPr>
          <w:trHeight w:val="560" w:hRule="atLeast"/>
        </w:trPr>
        <w:tc>
          <w:tcPr>
            <w:tcW w:w="2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-64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15143,03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-64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15162,02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left="-64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15176,35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45481,4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75" w:hRule="atLeast"/>
        </w:trPr>
        <w:tc>
          <w:tcPr>
            <w:tcW w:w="2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>
          <w:trHeight w:val="362" w:hRule="atLeast"/>
        </w:trPr>
        <w:tc>
          <w:tcPr>
            <w:tcW w:w="2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>
          <w:trHeight w:val="457" w:hRule="atLeast"/>
        </w:trPr>
        <w:tc>
          <w:tcPr>
            <w:tcW w:w="2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>
          <w:trHeight w:val="458" w:hRule="atLeast"/>
        </w:trPr>
        <w:tc>
          <w:tcPr>
            <w:tcW w:w="2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-64" w:hanging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15143,03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-64" w:hanging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15162,02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-64" w:hanging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15176,35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45481,4</w:t>
            </w:r>
          </w:p>
        </w:tc>
      </w:tr>
      <w:tr>
        <w:trPr>
          <w:trHeight w:val="626" w:hRule="atLeast"/>
        </w:trPr>
        <w:tc>
          <w:tcPr>
            <w:tcW w:w="2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Размер, расходуемых средств на реализацию программы, может уточняться и корректироваться, исходя из возможностей городского бюджета, инфляционных процессов и экономической ситуации на территории муниципального образования город Набережные Челны</w:t>
            </w:r>
          </w:p>
        </w:tc>
      </w:tr>
      <w:tr>
        <w:trPr>
          <w:trHeight w:val="881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Ожидаемые результаты реализации программы и показатели эффективности   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1. Доля </w:t>
            </w:r>
            <w:r>
              <w:rPr>
                <w:rFonts w:eastAsia="Times New Roman" w:cs="Times New Roman" w:ascii="Times New Roman" w:hAnsi="Times New Roman"/>
                <w:spacing w:val="2"/>
                <w:sz w:val="28"/>
                <w:szCs w:val="28"/>
              </w:rPr>
              <w:t>социально ориентированных некоммерческих организаций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получивших имущественную и финансовую поддержку от общего количества </w:t>
            </w:r>
            <w:r>
              <w:rPr>
                <w:rFonts w:eastAsia="Times New Roman" w:cs="Times New Roman" w:ascii="Times New Roman" w:hAnsi="Times New Roman"/>
                <w:spacing w:val="2"/>
                <w:sz w:val="28"/>
                <w:szCs w:val="28"/>
              </w:rPr>
              <w:t>социально ориентированных некоммерческих организаций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не менее 10,0 % ежегодно.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Увеличение количества проведенных СОНКО мероприятий и общественных акций</w:t>
            </w:r>
          </w:p>
        </w:tc>
      </w:tr>
      <w:tr>
        <w:trPr/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Система организации контроля                          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реализацией Программы</w:t>
            </w:r>
          </w:p>
        </w:tc>
        <w:tc>
          <w:tcPr>
            <w:tcW w:w="7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Общий контроль за исполнением Программы осуществляет управление экономического развития и поддержки предпринимательства Исполнительного комитета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851" w:leader="none"/>
        </w:tabs>
        <w:spacing w:lineRule="auto" w:line="276" w:before="0" w:after="0"/>
        <w:ind w:left="360" w:hanging="0"/>
        <w:jc w:val="center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Глава 2. Характеристика сферы реализации Программы, описание основных проблем в указанной сфере и прогноз ее развития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851" w:leader="none"/>
          <w:tab w:val="left" w:pos="1134" w:leader="none"/>
        </w:tabs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Гражданское общество возникает как результат свободной самоорганизации жителей территории, стремящихся к объединению на основе осознания общности своих интересов и целей и способных самостоятельно решать не только свои собственные проблемы, но и проблемы других людей.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Сегодня общество столкнулось с трудностями решения не только экономических, но и важнейших социально-культурных проблем. Одним из институтов, способных эффективно справиться с решением задач привлечения дополнительных финансовых средств в отрасль социальной сферы, а также содействовать оптимизации распределения ресурсов экономики, является некоммерческий сектор, называемый также «третьим сектором экономики». В связи с этим развитие некоммерческого хозяйствования приобретает особую актуальность в деле поддержания социальной сферы и обеспечения социальной защиты населения.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Разработка муниципальной программы «Поддержка социально ориентированных некоммерческих организаций города Набережные Челны на 2026-2028 годы» (далее – Программа) обусловлена необходимостью выработки системного, комплексного подхода к решению вопроса поддержки социально ориентированных некоммерческих организаций (далее - СОНКО) в городе Набережные Челны.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/>
        <w:ind w:left="0" w:firstLine="709"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Программа разработана в соответствии с Федеральным законом от 12.01.1996 № 7-ФЗ «О некоммерческих организациях», Федеральным законом от 05.04.2010 № 40-ФЗ «О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организаций». Программа определяет принципы и формы оказания поддержки СОНКО в городе, а также полномочия органов местного самоуправления муниципального образования город Набережные Челны по оказанию поддержки СОНКО.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/>
        <w:ind w:left="0" w:firstLine="709"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Данная Программа предусматривает финансовую, имущественную, информационную и консультативную поддержку инициатив СОНКО.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/>
        <w:ind w:left="0" w:firstLine="709"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Исходя из вышеперечисленного, одной из задач органов местного самоуправления должно стать создание условий для развития СОНКО. Поэтому целесообразно решать данную проблему программно-целевым методом.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СОНКО должны стать каналом обратной связи между гражданами и органами местного самоуправления, способствовать возникновению у населения чувства гражданской ответственности, конструктивного общения.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По состоянию на первое полугодие 2025 года в городе Набережные Челны зарегистрировано 505 некоммерческих организаций, которые ведут работу с различными категориями граждан и оказывают населению социальные услуги. 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В 2024 году проведено 27 встреч с участием представителей Исполнительного комитета по вопросам: об участии социально ориентированных некоммерческих организаций в конкурсах на получение грантов Президента РФ, грантов Кабинета Министров Республики Татарстан и др.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Ежегодно проводится конкурс «Лучшая социально ориентированная некоммерческая организация города Набережные Челны» по четырем номинациям. В 2024 году приняли участие 16 социально ориентированных некоммерческих организаций. В соответствии с положением о конкурсе «Лучшая социально ориентированная некоммерческая организация города Набережные Челны», утвержденным постановлением Исполнительного комитета города от 06.09.2024 № 5756 4 победителя награждены дипломами и денежным вознаграждением.</w:t>
      </w:r>
    </w:p>
    <w:p>
      <w:pPr>
        <w:pStyle w:val="Normal"/>
        <w:spacing w:before="0" w:after="0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2024 году 10 проектов некоммерческих организаций стали победителями в конкурсе на предоставление грантов Президента Российской Федерации и конкурсе на предоставление грантов Раиса Республики Татарстан, получив поддержку в сумме 8,9 млн. руб.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За 2024 год 54 СОНКО, зарегистрированные в городе, получили имущественную и финансовую поддержку. 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hanging="0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709" w:hanging="0"/>
        <w:contextualSpacing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Глава 3. Основные цели и задачи, сроки и этапы реализации Программы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1080" w:hanging="0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Цель -</w:t>
      </w:r>
      <w:r>
        <w:rPr>
          <w:rFonts w:cs="Times New Roman" w:ascii="Times New Roman" w:hAnsi="Times New Roman"/>
          <w:sz w:val="28"/>
          <w:szCs w:val="28"/>
        </w:rPr>
        <w:t xml:space="preserve"> стимулирование СОНКО и их участия в социально-экономическом развитии города Набережные Челны, сохранении общественно-политической стабильности и этноконфессионального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Для достижения поставленной цели предусматривается решение следующих задач: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1. Развитие механизмов оказания имущественной, финансовой, информационной и консультативной поддержки СОНКО.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2. Популяризация деятельности СОНКО в средствах массовой информации.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>Оказание помощи СОНКО в проведении городских мероприятий по развитию дополнительного образования, популяризации здорового образа жизни и массового спорта, патриотическому воспитанию детей и молодежи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4. </w:t>
      </w:r>
      <w:r>
        <w:rPr>
          <w:rFonts w:cs="Times New Roman" w:ascii="Times New Roman" w:hAnsi="Times New Roman"/>
          <w:sz w:val="28"/>
          <w:szCs w:val="28"/>
        </w:rPr>
        <w:t>Совершенствование форм поддержки деятельности СОНКО, направленных на профилактику социально опасных форм поведения граждан, социальную реабилитацию лиц, находящихся в трудной жизненной ситуации.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Программа реализуется в 2026-2028 годах.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Этапы муниципальной программы не выделяются.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contextualSpacing/>
        <w:jc w:val="center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Глава 4. Характеристика основных мероприятий Программы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contextualSpacing/>
        <w:jc w:val="center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Программа включает следующие приоритетные направления поддержки деятельности СОНКО: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финансовая, имущественная, информационная и консультативная поддержка СОНКО;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освещение деятельности СОНКО в средствах массовой информации;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укрепление гражданского согласия, сохранение духовно-нравственных ценностей, популяризация деятельности общественных объединений;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укрепление физического, духовно-нравственного здоровья граждан;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оказание помощи молодым людям, оказавшимся в трудной жизненной ситуации.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/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contextualSpacing/>
        <w:jc w:val="center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Индикаторы Программы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tbl>
      <w:tblPr>
        <w:tblW w:w="9923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387"/>
        <w:gridCol w:w="1417"/>
        <w:gridCol w:w="993"/>
        <w:gridCol w:w="989"/>
        <w:gridCol w:w="1137"/>
      </w:tblGrid>
      <w:tr>
        <w:trPr>
          <w:trHeight w:val="357" w:hRule="atLeast"/>
        </w:trPr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Индикаторы оценки конечных результатов, единица 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Значения индикаторов</w:t>
            </w:r>
          </w:p>
        </w:tc>
      </w:tr>
      <w:tr>
        <w:trPr>
          <w:trHeight w:val="527" w:hRule="atLeast"/>
        </w:trPr>
        <w:tc>
          <w:tcPr>
            <w:tcW w:w="5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eastAsiaTheme="minorEastAsia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2025 год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(базовый)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2028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год</w:t>
            </w:r>
          </w:p>
        </w:tc>
      </w:tr>
      <w:tr>
        <w:trPr>
          <w:trHeight w:val="527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Доля СОНКО получивших имущественную и финансовую поддержку от общего количества СОНКО,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10,0</w:t>
            </w:r>
          </w:p>
        </w:tc>
      </w:tr>
      <w:tr>
        <w:trPr>
          <w:trHeight w:val="527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Количество проведенных СОНКО мероприятий и общественных акций в городе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1170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1190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eastAsia="Arial" w:cs="Times New Roman" w:ascii="Times New Roman" w:hAnsi="Times New Roman" w:eastAsiaTheme="minorEastAsia"/>
                <w:sz w:val="28"/>
                <w:szCs w:val="28"/>
                <w:lang w:eastAsia="ru-RU"/>
              </w:rPr>
              <w:t>1245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Формула расчета: 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contextualSpacing/>
        <w:jc w:val="center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val="en-US" w:eastAsia="ru-RU"/>
        </w:rPr>
        <w:t>V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= (А+В)/К*100, где: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А- количество СОНКО получивших имущественную поддержку,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В- количество СОНКО получивших финансовую поддержку, 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К- общее количество СОНКО.</w:t>
      </w:r>
    </w:p>
    <w:p>
      <w:pPr>
        <w:pStyle w:val="Normal"/>
        <w:spacing w:lineRule="auto" w:line="276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Глава 5. Ресурсное обеспечение Программы</w:t>
      </w:r>
    </w:p>
    <w:p>
      <w:pPr>
        <w:pStyle w:val="Normal"/>
        <w:spacing w:lineRule="atLeast" w:line="240" w:before="150" w:after="150"/>
        <w:ind w:firstLine="50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Объем финансирования Программы на 2026-2028 годы составляет 45481,4 тыс. рублей, в том числе по годам реализации программы:</w:t>
      </w:r>
    </w:p>
    <w:p>
      <w:pPr>
        <w:pStyle w:val="Normal"/>
        <w:spacing w:lineRule="atLeast" w:line="240" w:before="150" w:after="150"/>
        <w:ind w:firstLine="50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2026 год – 15143,03 тыс. рублей, 2027 год – 15162,02 тыс. рублей, 2028 год – 15176,35 тыс. рублей.</w:t>
      </w:r>
    </w:p>
    <w:p>
      <w:pPr>
        <w:pStyle w:val="Normal"/>
        <w:spacing w:lineRule="atLeast" w:line="240" w:before="150" w:after="150"/>
        <w:ind w:firstLine="50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709" w:hanging="0"/>
        <w:contextualSpacing/>
        <w:jc w:val="center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709" w:hanging="0"/>
        <w:contextualSpacing/>
        <w:jc w:val="center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Глава 6. Механизмы реализации Программы</w:t>
      </w:r>
    </w:p>
    <w:p>
      <w:pPr>
        <w:pStyle w:val="ListParagraph"/>
        <w:spacing w:lineRule="auto" w:line="276"/>
        <w:ind w:left="0" w:firstLine="72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ListParagraph"/>
        <w:spacing w:lineRule="auto" w:line="276" w:before="0" w:after="0"/>
        <w:ind w:left="0" w:firstLine="720"/>
        <w:contextualSpacing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В ходе реализации мероприятий Программы муниципальный заказчик - координатор (управление экономического развития и поддержки предпринимательства Исполнительного комитета)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в строгом соответствии с нормативными правовыми актами Российской Федерации и Республики Татарстан.</w:t>
      </w:r>
    </w:p>
    <w:p>
      <w:pPr>
        <w:pStyle w:val="ListParagraph"/>
        <w:spacing w:lineRule="auto" w:line="276" w:before="0" w:after="0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Отраслевые (функциональные) органы Исполнительного комитета, участвующие в реализации Программы, представляют координатору Программы информацию о ее выполнении до 15 января </w:t>
      </w:r>
      <w:r>
        <w:rPr>
          <w:rFonts w:ascii="Times New Roman" w:hAnsi="Times New Roman"/>
          <w:sz w:val="28"/>
          <w:szCs w:val="28"/>
        </w:rPr>
        <w:t>года, следующего за отчетным периодом.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</w:rPr>
        <w:t>Для проведения текущего мониторинга реализации муниципальных программ координатор Программы направляет в управление финансов Исполнительного комитета и в отдел экономики управления экономического развития и поддержки предпринимательства Исполнительного комитета ежегодно, до 1 февраля года, следующего за отчетным периодом – отчет о ходе реализации, оценку эффективности и результативности реализации Программы.</w:t>
      </w:r>
    </w:p>
    <w:p>
      <w:pPr>
        <w:pStyle w:val="ListParagraph"/>
        <w:spacing w:lineRule="auto" w:line="276"/>
        <w:ind w:left="0" w:firstLine="72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highlight w:val="yellow"/>
          <w:lang w:eastAsia="ru-RU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709" w:hanging="0"/>
        <w:contextualSpacing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Глава 7. Оценка экономической и социальной эффективности Программы</w:t>
      </w:r>
    </w:p>
    <w:p>
      <w:pPr>
        <w:pStyle w:val="ListParagraph"/>
        <w:spacing w:lineRule="auto" w:line="276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highlight w:val="yellow"/>
          <w:lang w:eastAsia="ru-RU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Результатом реализации Программы СОНКО является активное вовлечение СОНКО в решение социальных проблем, партнерство СОНКО с муниципальным образованием в сфере реализации социальной политики, совместный поиск путей решения актуальных общественных проблем. Партнерство с СОНКО должно способствовать повышению прозрачности деятельности органов местного самоуправления и возникновению у населения чувства гражданской ответственности, конструктивного общения с властью.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Оценка эффективности реализации Программы осуществляется ежегодно в течение всего срока реализации Программы.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 w:firstLine="709"/>
        <w:contextualSpacing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sectPr>
          <w:type w:val="nextPage"/>
          <w:pgSz w:w="11906" w:h="16838"/>
          <w:pgMar w:left="567" w:right="425" w:gutter="0" w:header="0" w:top="680" w:footer="0" w:bottom="567"/>
          <w:pgNumType w:fmt="decimal"/>
          <w:formProt w:val="false"/>
          <w:textDirection w:val="lrTb"/>
          <w:docGrid w:type="default" w:linePitch="360" w:charSpace="4096"/>
        </w:sect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left="0" w:hanging="0"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0" w:firstLine="709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8. Цели, задачи, индикаторы оценки результатов программы и финансирование по мероприятиям программы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0" w:firstLine="709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5882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57"/>
        <w:gridCol w:w="2951"/>
        <w:gridCol w:w="2298"/>
        <w:gridCol w:w="1406"/>
        <w:gridCol w:w="1546"/>
        <w:gridCol w:w="1269"/>
        <w:gridCol w:w="704"/>
        <w:gridCol w:w="702"/>
        <w:gridCol w:w="705"/>
        <w:gridCol w:w="1182"/>
        <w:gridCol w:w="1275"/>
        <w:gridCol w:w="1112"/>
        <w:gridCol w:w="25"/>
        <w:gridCol w:w="5"/>
        <w:gridCol w:w="114"/>
        <w:gridCol w:w="30"/>
      </w:tblGrid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Значения индикаторов</w:t>
            </w:r>
          </w:p>
        </w:tc>
        <w:tc>
          <w:tcPr>
            <w:tcW w:w="3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Финансирование с указанием источника финансирования, тыс. руб.</w:t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14" w:hRule="atLeast"/>
        </w:trPr>
        <w:tc>
          <w:tcPr>
            <w:tcW w:w="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487" w:hRule="atLeast"/>
        </w:trPr>
        <w:tc>
          <w:tcPr>
            <w:tcW w:w="157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Наименование цели: Стимулирование социально ориентированной деятельности некоммерческих организаций и их участия в социально-экономическом развитии города Набережные Челны, сохранении общественно-политической стабильности и этноконфессионального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</w:t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22" w:hRule="atLeast"/>
        </w:trPr>
        <w:tc>
          <w:tcPr>
            <w:tcW w:w="157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76" w:before="0" w:after="0"/>
              <w:ind w:left="0" w:firstLine="709"/>
              <w:contextualSpacing/>
              <w:jc w:val="center"/>
              <w:outlineLvl w:val="1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Наименование задачи: 1. </w:t>
            </w:r>
            <w:r>
              <w:rPr>
                <w:rFonts w:eastAsia="Times New Roman" w:cs="Times New Roman" w:ascii="Times New Roman" w:hAnsi="Times New Roman"/>
                <w:spacing w:val="2"/>
                <w:sz w:val="28"/>
                <w:szCs w:val="28"/>
                <w:lang w:eastAsia="ru-RU"/>
              </w:rPr>
              <w:t>Развитие механизмов оказания имущественной, финансовой, информационной и консультативной поддержки социально ориентированным некоммерческим организациям.</w:t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86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и проведение мероприятий в сфере патриотического воспитания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менее 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менее 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менее 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менее 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14 400,0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177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14 400,0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177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14 400,0</w:t>
            </w:r>
          </w:p>
        </w:tc>
        <w:tc>
          <w:tcPr>
            <w:tcW w:w="144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86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услуг социального характера, консультаций, материальной помощи, психологической помощи ветеранам специальной военной операции, а также членам их семей, содействие их реабилитации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услуг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менее 300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менее 300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менее 300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менее 300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-177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Оказание СОНКО имущественной поддержки на условиях безвозмездного пользования нежилыми помещениями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Предоставление СОНКО льготы в виде освобождения от арендной платы за нежилые помещения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Компенсация расходов за пользование услугами связи, оплата коммунальных платежей общественным организациям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 районов 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организаций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493,03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512,02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526,35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Ведение реестра СОНКО, получателей государственной поддержки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7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Наименование задачи: 2. Популяризация деятельности социально ориентированных некоммерческих организаций в средствах массовой информации</w:t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34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Размещение информации о деятельности СОНКО на официальном сайте города Набережные Челны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публикаций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34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Организация и проведение совместных рабочих встреч СОНКО с представителями Исполнительного комитета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встреч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34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Проведение конкурса «Лучшая социально ориентированная некоммерческая организация города Набережные Челны»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конкурсов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157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задачи: 3. Оказание помощи социально ориентированным некоммерческим организациям в проведении городских мероприятий по развитию дополнительного образования, популяризации здорового образа жизни и массового спорта, патриотическому воспитанию детей и молодежи</w:t>
            </w:r>
          </w:p>
        </w:tc>
        <w:tc>
          <w:tcPr>
            <w:tcW w:w="11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Оказание к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онсультативной и организационной помощи СОНКО физкультурно-оздоровительной и спортивной направленности в подготовке и проведении соревнований по видам спорта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обращений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157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задачи: 4. Совершенствование форм поддержки деятельности СОНКО, направленных на профилактику социально опасных форм поведения граждан, социальную реабилитацию лиц, находящихся в трудной жизненной ситуации</w:t>
            </w:r>
          </w:p>
        </w:tc>
        <w:tc>
          <w:tcPr>
            <w:tcW w:w="144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Оказание социально-психологических и медицинских услуг со стороны СОНКО уязвимым группам населения (потребителям наркотиков, мигрантам и др.)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оказанных услуг</w:t>
              <w:tab/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860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875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Оказание информационно-консультационной поддержки СОНКО при оказании социально-психологических услуг для созависимых граждан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15143,03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15162,02</w:t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8" w:hanging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15176,35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left="0" w:hanging="0"/>
        <w:outlineLvl w:val="1"/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left="0" w:hanging="0"/>
        <w:outlineLvl w:val="1"/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pacing w:val="2"/>
          <w:sz w:val="28"/>
          <w:szCs w:val="28"/>
          <w:lang w:eastAsia="ru-RU"/>
        </w:rPr>
        <w:t>Заместитель Руководителя Аппарата,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left="0" w:hanging="0"/>
        <w:outlineLvl w:val="1"/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начальник управления делопроизводством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left="0" w:hanging="0"/>
        <w:outlineLvl w:val="1"/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Исполнительного комитета                                                                                                                                                  Н.И. Галиева  </w:t>
      </w:r>
    </w:p>
    <w:sectPr>
      <w:type w:val="nextPage"/>
      <w:pgSz w:orient="landscape" w:w="16838" w:h="11906"/>
      <w:pgMar w:left="567" w:right="678" w:gutter="0" w:header="0" w:top="56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03" w:hanging="49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Normal"/>
    <w:link w:val="22"/>
    <w:uiPriority w:val="9"/>
    <w:qFormat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Normal"/>
    <w:link w:val="31"/>
    <w:uiPriority w:val="9"/>
    <w:qFormat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link w:val="41"/>
    <w:uiPriority w:val="9"/>
    <w:qFormat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Normal"/>
    <w:link w:val="51"/>
    <w:uiPriority w:val="9"/>
    <w:qFormat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Style12">
    <w:name w:val="Footnote Reference"/>
    <w:rPr>
      <w:vertAlign w:val="superscript"/>
    </w:rPr>
  </w:style>
  <w:style w:type="character" w:styleId="Style13" w:customStyle="1">
    <w:name w:val="Текст концевой сноски Знак"/>
    <w:uiPriority w:val="99"/>
    <w:qFormat/>
    <w:rPr>
      <w:sz w:val="20"/>
    </w:rPr>
  </w:style>
  <w:style w:type="character" w:styleId="Style1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15">
    <w:name w:val="Endnote Reference"/>
    <w:rPr>
      <w:vertAlign w:val="superscript"/>
    </w:rPr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22" w:customStyle="1">
    <w:name w:val="Заголовок 2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1" w:customStyle="1">
    <w:name w:val="Заголовок 5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-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yle16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Pr>
      <w:rFonts w:ascii="Calibri" w:hAnsi="Calibr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Style19" w:customStyle="1">
    <w:name w:val="Тема примечания Знак"/>
    <w:basedOn w:val="Style18"/>
    <w:link w:val="Annotationsubject"/>
    <w:uiPriority w:val="99"/>
    <w:semiHidden/>
    <w:qFormat/>
    <w:rPr>
      <w:b/>
      <w:bCs/>
      <w:sz w:val="20"/>
      <w:szCs w:val="20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5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9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30">
    <w:name w:val="Endnote Text"/>
    <w:basedOn w:val="Normal"/>
    <w:link w:val="Style13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31">
    <w:name w:val="Index Heading"/>
    <w:basedOn w:val="Style20"/>
    <w:pPr/>
    <w:rPr/>
  </w:style>
  <w:style w:type="paragraph" w:styleId="Style32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Style33">
    <w:name w:val="Title"/>
    <w:basedOn w:val="Normal"/>
    <w:next w:val="Style21"/>
    <w:link w:val="Style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1">
    <w:name w:val="header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pPr>
      <w:spacing w:lineRule="auto" w:line="240" w:before="0" w:after="0"/>
    </w:pPr>
    <w:rPr>
      <w:rFonts w:ascii="Calibri" w:hAnsi="Calibri"/>
      <w:sz w:val="18"/>
      <w:szCs w:val="18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8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9"/>
    <w:uiPriority w:val="99"/>
    <w:semiHidden/>
    <w:unhideWhenUsed/>
    <w:qFormat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2D65-BF2B-4347-A016-A07C023C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LibreOffice/7.5.6.2$Linux_X86_64 LibreOffice_project/50$Build-2</Application>
  <AppVersion>15.0000</AppVersion>
  <Pages>11</Pages>
  <Words>2144</Words>
  <Characters>16330</Characters>
  <CharactersWithSpaces>18482</CharactersWithSpaces>
  <Paragraphs>333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2022-06-20T10:39:00Z</dcterms:created>
  <dc:creator>Виктория Иванова</dc:creator>
  <dc:description/>
  <dc:language>ru-RU</dc:language>
  <cp:lastModifiedBy/>
  <dcterms:modified xsi:type="dcterms:W3CDTF">2025-09-17T15:57:32Z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