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>
      <w:pPr>
        <w:pStyle w:val="Normal"/>
        <w:ind w:right="3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муниципального образования город Набережные Челны на 2026 год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2">
        <w:r>
          <w:rPr>
            <w:rStyle w:val="ListLabel73"/>
            <w:sz w:val="28"/>
            <w:szCs w:val="28"/>
          </w:rPr>
          <w:t>статьей 16</w:t>
        </w:r>
      </w:hyperlink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3">
        <w:r>
          <w:rPr>
            <w:rStyle w:val="ListLabel73"/>
            <w:sz w:val="28"/>
            <w:szCs w:val="28"/>
          </w:rPr>
          <w:t>статьей 99</w:t>
        </w:r>
      </w:hyperlink>
      <w:r>
        <w:rPr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hyperlink r:id="rId4">
        <w:r>
          <w:rPr>
            <w:rStyle w:val="ListLabel73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Исполнительного комитета от 27.03.2020 № 1540 «Об утверждении порядка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города Набережные Челны»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2026 год: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20" w:leader="none"/>
        </w:tabs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муниципального образования город Набережные Челны согласно приложению № 1;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20" w:leader="none"/>
        </w:tabs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реализацию дополнительных общеразвивающих программ для обучающихся с ограниченными возможностями </w:t>
      </w:r>
      <w:r>
        <w:rPr>
          <w:sz w:val="28"/>
          <w:szCs w:val="28"/>
          <w:highlight w:val="white"/>
        </w:rPr>
        <w:t>здор</w:t>
      </w:r>
      <w:r>
        <w:rPr>
          <w:sz w:val="28"/>
          <w:szCs w:val="28"/>
        </w:rPr>
        <w:t>овья, инвалидностью посредством организации инклюзивного образования в организациях дополнительного образования</w:t>
      </w:r>
      <w:r>
        <w:rPr>
          <w:bCs/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город Набережные Челны согласно приложению № 2;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20" w:leader="none"/>
        </w:tabs>
        <w:ind w:firstLine="720"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0,9.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финансов Исполнительного комитета  обеспечить 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ind w:firstLine="720" w:left="0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>Настоящее постановление вступает в силу с 01.01.2026.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20" w:leader="none"/>
        </w:tabs>
        <w:ind w:firstLine="720" w:left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5">
        <w:r>
          <w:rPr>
            <w:rStyle w:val="Hyperlink"/>
            <w:color w:themeColor="text1" w:val="000000"/>
            <w:sz w:val="28"/>
            <w:szCs w:val="28"/>
            <w:u w:val="none"/>
            <w:lang w:val="en-US"/>
          </w:rPr>
          <w:t>http</w:t>
        </w:r>
        <w:r>
          <w:rPr>
            <w:rStyle w:val="Hyperlink"/>
            <w:color w:themeColor="text1" w:val="000000"/>
            <w:sz w:val="28"/>
            <w:szCs w:val="28"/>
            <w:u w:val="none"/>
          </w:rPr>
          <w:t>://</w:t>
        </w:r>
        <w:r>
          <w:rPr>
            <w:rStyle w:val="Hyperlink"/>
            <w:color w:themeColor="text1" w:val="000000"/>
            <w:sz w:val="28"/>
            <w:szCs w:val="28"/>
            <w:u w:val="none"/>
            <w:lang w:val="en-US"/>
          </w:rPr>
          <w:t>pravo</w:t>
        </w:r>
        <w:r>
          <w:rPr>
            <w:rStyle w:val="Hyperlink"/>
            <w:color w:themeColor="text1" w:val="000000"/>
            <w:sz w:val="28"/>
            <w:szCs w:val="28"/>
            <w:u w:val="none"/>
          </w:rPr>
          <w:t>.</w:t>
        </w:r>
        <w:r>
          <w:rPr>
            <w:rStyle w:val="Hyperlink"/>
            <w:color w:themeColor="text1" w:val="000000"/>
            <w:sz w:val="28"/>
            <w:szCs w:val="28"/>
            <w:u w:val="none"/>
            <w:lang w:val="en-US"/>
          </w:rPr>
          <w:t>tatarstan</w:t>
        </w:r>
        <w:r>
          <w:rPr>
            <w:rStyle w:val="Hyperlink"/>
            <w:color w:themeColor="text1" w:val="000000"/>
            <w:sz w:val="28"/>
            <w:szCs w:val="28"/>
            <w:u w:val="none"/>
          </w:rPr>
          <w:t>.</w:t>
        </w:r>
        <w:r>
          <w:rPr>
            <w:rStyle w:val="Hyperlink"/>
            <w:color w:themeColor="text1" w:val="000000"/>
            <w:sz w:val="28"/>
            <w:szCs w:val="28"/>
            <w:u w:val="none"/>
            <w:lang w:val="en-US"/>
          </w:rPr>
          <w:t>ru</w:t>
        </w:r>
      </w:hyperlink>
      <w:r>
        <w:rPr>
          <w:color w:themeColor="text1" w:val="000000"/>
          <w:sz w:val="28"/>
          <w:szCs w:val="28"/>
        </w:rPr>
        <w:t>), на официальном сайте города Набережные Челны                                   в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ab/>
        <w:tab/>
        <w:tab/>
        <w:tab/>
        <w:tab/>
        <w:tab/>
        <w:t>Ф.Ш. Салахов</w:t>
      </w:r>
    </w:p>
    <w:p>
      <w:pPr>
        <w:sectPr>
          <w:headerReference w:type="default" r:id="rId6"/>
          <w:type w:val="nextPage"/>
          <w:pgSz w:w="11906" w:h="16838"/>
          <w:pgMar w:left="993" w:right="850" w:gutter="0" w:header="708" w:top="1134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постановлению </w:t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20__ № ____</w:t>
      </w:r>
    </w:p>
    <w:p>
      <w:pPr>
        <w:pStyle w:val="Normal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муниципального образования город Набережные Челны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/>
      </w:r>
    </w:p>
    <w:tbl>
      <w:tblPr>
        <w:tblW w:w="10688" w:type="dxa"/>
        <w:jc w:val="left"/>
        <w:tblInd w:w="-4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86"/>
        <w:gridCol w:w="2498"/>
        <w:gridCol w:w="1560"/>
        <w:gridCol w:w="1702"/>
        <w:gridCol w:w="1842"/>
      </w:tblGrid>
      <w:tr>
        <w:trPr>
          <w:trHeight w:val="661" w:hRule="atLeast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программы дополнительного образования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Территориальная дислокация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-5"/>
              <w:jc w:val="center"/>
              <w:rPr/>
            </w:pPr>
            <w:r>
              <w:rPr/>
              <w:t>Нормативные затраты,</w:t>
            </w:r>
          </w:p>
          <w:p>
            <w:pPr>
              <w:pStyle w:val="Normal"/>
              <w:ind w:right="-5"/>
              <w:jc w:val="center"/>
              <w:rPr>
                <w:color w:val="000000"/>
              </w:rPr>
            </w:pPr>
            <w:r>
              <w:rPr/>
              <w:t>рублей в год на одного обучающегося</w:t>
            </w:r>
          </w:p>
        </w:tc>
      </w:tr>
      <w:tr>
        <w:trPr>
          <w:trHeight w:val="900" w:hRule="atLeast"/>
        </w:trPr>
        <w:tc>
          <w:tcPr>
            <w:tcW w:w="30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9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обучения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третий и последующие годы обучения</w:t>
            </w:r>
          </w:p>
        </w:tc>
      </w:tr>
      <w:tr>
        <w:trPr>
          <w:trHeight w:val="284" w:hRule="atLeast"/>
        </w:trPr>
        <w:tc>
          <w:tcPr>
            <w:tcW w:w="3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4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9 170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16 555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19 766</w:t>
            </w:r>
          </w:p>
        </w:tc>
      </w:tr>
      <w:tr>
        <w:trPr>
          <w:trHeight w:val="284" w:hRule="atLeast"/>
        </w:trPr>
        <w:tc>
          <w:tcPr>
            <w:tcW w:w="3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4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9 070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16 455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19 666</w:t>
            </w:r>
          </w:p>
        </w:tc>
      </w:tr>
      <w:tr>
        <w:trPr>
          <w:trHeight w:val="284" w:hRule="atLeast"/>
        </w:trPr>
        <w:tc>
          <w:tcPr>
            <w:tcW w:w="3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Техническое творчество</w:t>
            </w:r>
          </w:p>
        </w:tc>
        <w:tc>
          <w:tcPr>
            <w:tcW w:w="24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9 570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16 955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20 166</w:t>
            </w:r>
          </w:p>
        </w:tc>
      </w:tr>
      <w:tr>
        <w:trPr>
          <w:trHeight w:val="284" w:hRule="atLeast"/>
        </w:trPr>
        <w:tc>
          <w:tcPr>
            <w:tcW w:w="3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Туристско-краеведческое</w:t>
            </w:r>
          </w:p>
        </w:tc>
        <w:tc>
          <w:tcPr>
            <w:tcW w:w="24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9 170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16 555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19 766</w:t>
            </w:r>
          </w:p>
        </w:tc>
      </w:tr>
      <w:tr>
        <w:trPr>
          <w:trHeight w:val="284" w:hRule="atLeast"/>
        </w:trPr>
        <w:tc>
          <w:tcPr>
            <w:tcW w:w="3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Эколого-биологическое</w:t>
            </w:r>
          </w:p>
        </w:tc>
        <w:tc>
          <w:tcPr>
            <w:tcW w:w="24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9 170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16 555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19 766</w:t>
            </w:r>
          </w:p>
        </w:tc>
      </w:tr>
      <w:tr>
        <w:trPr>
          <w:trHeight w:val="284" w:hRule="atLeast"/>
        </w:trPr>
        <w:tc>
          <w:tcPr>
            <w:tcW w:w="3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4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9 170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16 555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19 766</w:t>
            </w:r>
          </w:p>
        </w:tc>
      </w:tr>
      <w:tr>
        <w:trPr>
          <w:trHeight w:val="284" w:hRule="atLeast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Социально-педагогическое</w:t>
            </w:r>
          </w:p>
        </w:tc>
        <w:tc>
          <w:tcPr>
            <w:tcW w:w="24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8 970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16 355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19 566</w:t>
            </w:r>
          </w:p>
        </w:tc>
      </w:tr>
      <w:tr>
        <w:trPr>
          <w:trHeight w:val="284" w:hRule="atLeast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4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9 170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16 555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19 766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ab/>
        <w:tab/>
        <w:tab/>
        <w:tab/>
        <w:tab/>
        <w:tab/>
        <w:t>Н.И. Галиева</w:t>
      </w:r>
    </w:p>
    <w:p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постановлению </w:t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20__ № ____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Нормативные затраты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дополнительных общеразвивающих программ для обучающихся с ограниченными возможностями </w:t>
      </w:r>
      <w:r>
        <w:rPr>
          <w:sz w:val="28"/>
          <w:szCs w:val="28"/>
          <w:highlight w:val="white"/>
        </w:rPr>
        <w:t>здор</w:t>
      </w:r>
      <w:r>
        <w:rPr>
          <w:sz w:val="28"/>
          <w:szCs w:val="28"/>
        </w:rPr>
        <w:t>овья, инвалидностью посредством организации инклюзивного образования в организациях дополнительного образования</w:t>
      </w:r>
      <w:r>
        <w:rPr>
          <w:bCs/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город Набережные Челны</w:t>
      </w:r>
    </w:p>
    <w:tbl>
      <w:tblPr>
        <w:tblW w:w="10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1"/>
        <w:gridCol w:w="1277"/>
        <w:gridCol w:w="1983"/>
        <w:gridCol w:w="1277"/>
        <w:gridCol w:w="1133"/>
        <w:gridCol w:w="992"/>
        <w:gridCol w:w="1135"/>
        <w:gridCol w:w="1274"/>
      </w:tblGrid>
      <w:tr>
        <w:trPr>
          <w:trHeight w:val="455" w:hRule="atLeast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Направление</w:t>
            </w:r>
          </w:p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дополнительного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Территориальная дислокация</w:t>
            </w:r>
          </w:p>
        </w:tc>
        <w:tc>
          <w:tcPr>
            <w:tcW w:w="77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затраты,рублей в год</w:t>
            </w:r>
          </w:p>
        </w:tc>
      </w:tr>
      <w:tr>
        <w:trPr>
          <w:trHeight w:val="661" w:hRule="atLeast"/>
        </w:trPr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одного обучающегося с нарушениями опорно-двигательного аппарата, с заде</w:t>
            </w:r>
            <w:r>
              <w:rPr>
                <w:sz w:val="20"/>
                <w:szCs w:val="20"/>
                <w:highlight w:val="white"/>
              </w:rPr>
              <w:t xml:space="preserve">ржкой психического развития, с расстройствами аутистического спектра и с тяжелыми множественными нарушениями развития 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ind w:right="-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на одного обучающегося  с нарушением слуха: глухих, слабослышащих, позднооглохших</w:t>
            </w:r>
          </w:p>
        </w:tc>
      </w:tr>
      <w:tr>
        <w:trPr>
          <w:trHeight w:val="900" w:hRule="atLeast"/>
        </w:trPr>
        <w:tc>
          <w:tcPr>
            <w:tcW w:w="1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</w:tr>
      <w:tr>
        <w:trPr>
          <w:trHeight w:val="284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Художественно-эстетическое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18746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30778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33989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13493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23032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26243</w:t>
            </w:r>
          </w:p>
        </w:tc>
      </w:tr>
      <w:tr>
        <w:trPr>
          <w:trHeight w:val="284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Физкультурно-спортивное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18646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30678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33889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13393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22932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26143</w:t>
            </w:r>
          </w:p>
        </w:tc>
      </w:tr>
      <w:tr>
        <w:trPr>
          <w:trHeight w:val="284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19146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31178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34389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13893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23432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26643</w:t>
            </w:r>
          </w:p>
        </w:tc>
      </w:tr>
      <w:tr>
        <w:trPr>
          <w:trHeight w:val="284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18746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30778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33989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13493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23032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26243</w:t>
            </w:r>
          </w:p>
        </w:tc>
      </w:tr>
      <w:tr>
        <w:trPr>
          <w:trHeight w:val="284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Эколого-биологическое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18746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30778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33989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13493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23032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26243</w:t>
            </w:r>
          </w:p>
        </w:tc>
      </w:tr>
      <w:tr>
        <w:trPr>
          <w:trHeight w:val="284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Военно-патриотическое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18746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30778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33989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13493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23032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26243</w:t>
            </w:r>
          </w:p>
        </w:tc>
      </w:tr>
      <w:tr>
        <w:trPr>
          <w:trHeight w:val="792" w:hRule="atLeast"/>
        </w:trPr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Социально-педагогическое и эконимическое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18546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30578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33789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13293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22832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26043</w:t>
            </w:r>
          </w:p>
        </w:tc>
      </w:tr>
      <w:tr>
        <w:trPr>
          <w:trHeight w:val="284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Естественнонаучное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18746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30778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33989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13493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23032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</w:rPr>
              <w:t>26243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Заместитель Руководителя Аппарата,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ab/>
        <w:tab/>
        <w:tab/>
        <w:tab/>
        <w:tab/>
        <w:tab/>
        <w:t>Н.И. Галиева</w:t>
      </w:r>
    </w:p>
    <w:sectPr>
      <w:headerReference w:type="default" r:id="rId7"/>
      <w:headerReference w:type="first" r:id="rId8"/>
      <w:type w:val="nextPage"/>
      <w:pgSz w:w="11906" w:h="16838"/>
      <w:pgMar w:left="993" w:right="850" w:gutter="0" w:header="708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9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Style12" w:customStyle="1">
    <w:name w:val="Верхний колонтитул Знак"/>
    <w:uiPriority w:val="99"/>
    <w:qFormat/>
    <w:rPr>
      <w:sz w:val="24"/>
      <w:szCs w:val="24"/>
    </w:rPr>
  </w:style>
  <w:style w:type="character" w:styleId="Style13" w:customStyle="1">
    <w:name w:val="Нижний колонтитул Знак"/>
    <w:uiPriority w:val="99"/>
    <w:semiHidden/>
    <w:qFormat/>
    <w:rPr>
      <w:sz w:val="24"/>
      <w:szCs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Spacing">
    <w:name w:val="No Spacing"/>
    <w:basedOn w:val="Normal"/>
    <w:uiPriority w:val="1"/>
    <w:qFormat/>
    <w:pPr/>
    <w:rPr/>
  </w:style>
  <w:style w:type="paragraph" w:styleId="Caption1">
    <w:name w:val="caption1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FootnoteText">
    <w:name w:val="Footnote Text"/>
    <w:basedOn w:val="Normal"/>
    <w:link w:val="Style8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Xl65" w:customStyle="1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67" w:customStyle="1">
    <w:name w:val="xl67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68" w:customStyle="1">
    <w:name w:val="xl6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0" w:customStyle="1">
    <w:name w:val="xl70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1" w:customStyle="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3" w:customStyle="1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75" w:customStyle="1">
    <w:name w:val="xl75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76" w:customStyle="1">
    <w:name w:val="xl7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7" w:customStyle="1">
    <w:name w:val="xl77"/>
    <w:basedOn w:val="Normal"/>
    <w:qFormat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1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b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46500626C6CBFE7B31A441D51A6129DFFFE922D5BCDC59DB0B588BBDBCE7D3DDD73F72B961E08BA9296B76C75F48312AA5AC8B5AF377D75RBO3L" TargetMode="External"/><Relationship Id="rId3" Type="http://schemas.openxmlformats.org/officeDocument/2006/relationships/hyperlink" Target="consultantplus://offline/ref=646500626C6CBFE7B31A441D51A6129DFFF891295BC3C59DB0B588BBDBCE7D3DDD73F72D941B00EBC5D9B63030A29013A05ACABCB3R3O6L" TargetMode="External"/><Relationship Id="rId4" Type="http://schemas.openxmlformats.org/officeDocument/2006/relationships/hyperlink" Target="consultantplus://offline/ref=646500626C6CBFE7B31A5A1047CA4F96F8F0C8205ACEC8C3EFE98EEC849E7B689D33F17EC75B5EB2959EFD3D38BF8C13ABR4O7L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LibreOffice/7.6.7.2$Linux_X86_64 LibreOffice_project/60$Build-2</Application>
  <AppVersion>15.0000</AppVersion>
  <DocSecurity>4</DocSecurity>
  <Pages>4</Pages>
  <Words>654</Words>
  <Characters>5692</Characters>
  <CharactersWithSpaces>6248</CharactersWithSpaces>
  <Paragraphs>157</Paragraphs>
  <Company>cesirt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2025-10-02T10:20:00Z</dcterms:created>
  <dc:creator>Черникова Е.Е.</dc:creator>
  <dc:description/>
  <dc:language>ru-RU</dc:language>
  <cp:lastModifiedBy/>
  <dcterms:modified xsi:type="dcterms:W3CDTF">2025-10-03T15:11:29Z</dcterms:modified>
  <cp:revision>3</cp:revision>
  <dc:subject/>
  <dc:title>ИСПОЛНИТЕЛЬНЫЙ КОМИТЕТ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